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ind w:right="-42" w:rightChars="-20"/>
        <w:jc w:val="center"/>
        <w:rPr>
          <w:rFonts w:ascii="方正小标宋简体" w:hAnsi="华文中宋" w:eastAsia="方正小标宋简体" w:cs="Times New Roman"/>
          <w:bCs/>
          <w:color w:val="000000" w:themeColor="text1"/>
          <w:sz w:val="44"/>
          <w:szCs w:val="44"/>
        </w:rPr>
      </w:pPr>
      <w:r>
        <w:rPr>
          <w:rFonts w:ascii="方正小标宋简体" w:hAnsi="华文中宋" w:eastAsia="方正小标宋简体" w:cs="Times New Roman"/>
          <w:bCs/>
          <w:color w:val="000000" w:themeColor="text1"/>
          <w:sz w:val="44"/>
          <w:szCs w:val="44"/>
        </w:rPr>
        <w:pict>
          <v:rect id="矩形 1" o:spid="_x0000_s1026" o:spt="1" style="position:absolute;left:0pt;margin-left:-14.15pt;margin-top:-64.4pt;height:34.5pt;width:93pt;z-index:251659264;v-text-anchor:middle;mso-width-relative:page;mso-height-relative:page;" fillcolor="#FFFFFF" filled="t"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">
            <v:path/>
            <v:fill on="t" focussize="0,0"/>
            <v:stroke weight="2pt" color="#FFFFFF"/>
            <v:imagedata o:title=""/>
            <o:lock v:ext="edit"/>
            <v:textbox>
              <w:txbxContent>
                <w:p>
                  <w:pPr>
                    <w:jc w:val="center"/>
                    <w:rPr>
                      <w:rFonts w:ascii="黑体" w:hAnsi="黑体" w:eastAsia="黑体"/>
                      <w:sz w:val="32"/>
                      <w:szCs w:val="32"/>
                    </w:rPr>
                  </w:pPr>
                  <w:r>
                    <w:rPr>
                      <w:rFonts w:hint="eastAsia" w:ascii="黑体" w:hAnsi="黑体" w:eastAsia="黑体"/>
                      <w:sz w:val="32"/>
                      <w:szCs w:val="32"/>
                    </w:rPr>
                    <w:t>附件</w:t>
                  </w:r>
                  <w:r>
                    <w:rPr>
                      <w:rFonts w:hint="eastAsia" w:ascii="黑体" w:hAnsi="黑体" w:eastAsia="黑体"/>
                      <w:sz w:val="32"/>
                      <w:szCs w:val="32"/>
                      <w:lang w:val="en-US" w:eastAsia="zh-CN"/>
                    </w:rPr>
                    <w:t>2</w:t>
                  </w:r>
                  <w:r>
                    <w:rPr>
                      <w:rFonts w:hint="eastAsia" w:ascii="黑体" w:hAnsi="黑体" w:eastAsia="黑体"/>
                      <w:sz w:val="32"/>
                      <w:szCs w:val="32"/>
                    </w:rPr>
                    <w:t>：</w:t>
                  </w:r>
                </w:p>
              </w:txbxContent>
            </v:textbox>
          </v:rect>
        </w:pict>
      </w:r>
      <w:r>
        <w:rPr>
          <w:rFonts w:hint="eastAsia" w:ascii="方正小标宋简体" w:hAnsi="华文中宋" w:eastAsia="方正小标宋简体" w:cs="Times New Roman"/>
          <w:bCs/>
          <w:color w:val="000000" w:themeColor="text1"/>
          <w:sz w:val="44"/>
          <w:szCs w:val="44"/>
        </w:rPr>
        <w:t>福建省事业单位国有资产管理</w:t>
      </w:r>
    </w:p>
    <w:p>
      <w:pPr>
        <w:spacing w:line="600" w:lineRule="exact"/>
        <w:ind w:right="-42" w:rightChars="-20"/>
        <w:jc w:val="center"/>
        <w:rPr>
          <w:rFonts w:ascii="方正小标宋简体" w:hAnsi="华文中宋" w:eastAsia="方正小标宋简体" w:cs="Times New Roman"/>
          <w:bCs/>
          <w:color w:val="000000" w:themeColor="text1"/>
          <w:sz w:val="44"/>
          <w:szCs w:val="44"/>
        </w:rPr>
      </w:pPr>
      <w:bookmarkStart w:id="0" w:name="_GoBack"/>
      <w:bookmarkEnd w:id="0"/>
      <w:r>
        <w:rPr>
          <w:rFonts w:hint="eastAsia" w:ascii="方正小标宋简体" w:hAnsi="华文中宋" w:eastAsia="方正小标宋简体" w:cs="Times New Roman"/>
          <w:bCs/>
          <w:color w:val="000000" w:themeColor="text1"/>
          <w:sz w:val="44"/>
          <w:szCs w:val="44"/>
        </w:rPr>
        <w:t>绩效评价办法（试行）</w:t>
      </w:r>
    </w:p>
    <w:p>
      <w:pPr>
        <w:spacing w:line="600" w:lineRule="exact"/>
        <w:ind w:right="-42" w:rightChars="-20"/>
        <w:jc w:val="center"/>
        <w:rPr>
          <w:rFonts w:ascii="仿宋_GB2312" w:hAnsi="宋体" w:eastAsia="仿宋_GB2312" w:cs="Times New Roman"/>
          <w:color w:val="000000" w:themeColor="text1"/>
          <w:sz w:val="32"/>
          <w:szCs w:val="32"/>
        </w:rPr>
      </w:pPr>
    </w:p>
    <w:p>
      <w:pPr>
        <w:spacing w:line="600" w:lineRule="exact"/>
        <w:ind w:right="-42" w:rightChars="-20"/>
        <w:jc w:val="center"/>
        <w:rPr>
          <w:rFonts w:ascii="仿宋" w:hAnsi="仿宋" w:eastAsia="仿宋" w:cs="Times New Roman"/>
          <w:b/>
          <w:color w:val="000000" w:themeColor="text1"/>
          <w:sz w:val="32"/>
          <w:szCs w:val="32"/>
        </w:rPr>
      </w:pPr>
      <w:r>
        <w:rPr>
          <w:rFonts w:hint="eastAsia" w:ascii="仿宋" w:hAnsi="仿宋" w:eastAsia="仿宋" w:cs="Times New Roman"/>
          <w:b/>
          <w:color w:val="000000" w:themeColor="text1"/>
          <w:sz w:val="32"/>
          <w:szCs w:val="32"/>
        </w:rPr>
        <w:t>第一章  总则</w:t>
      </w:r>
    </w:p>
    <w:p>
      <w:pPr>
        <w:spacing w:line="600" w:lineRule="exact"/>
        <w:ind w:right="-42" w:rightChars="-20"/>
        <w:jc w:val="center"/>
        <w:rPr>
          <w:rFonts w:ascii="仿宋" w:hAnsi="仿宋" w:eastAsia="仿宋" w:cs="Times New Roman"/>
          <w:b/>
          <w:color w:val="000000" w:themeColor="text1"/>
          <w:sz w:val="28"/>
          <w:szCs w:val="28"/>
        </w:rPr>
      </w:pPr>
    </w:p>
    <w:p>
      <w:pPr>
        <w:spacing w:line="600" w:lineRule="exact"/>
        <w:ind w:firstLine="627" w:firstLineChars="196"/>
        <w:jc w:val="left"/>
        <w:rPr>
          <w:rFonts w:ascii="仿宋" w:hAnsi="仿宋" w:eastAsia="仿宋"/>
          <w:color w:val="000000" w:themeColor="text1"/>
          <w:sz w:val="32"/>
          <w:szCs w:val="32"/>
        </w:rPr>
      </w:pPr>
      <w:r>
        <w:rPr>
          <w:rFonts w:hint="eastAsia" w:ascii="仿宋" w:hAnsi="仿宋" w:eastAsia="仿宋" w:cs="Times New Roman"/>
          <w:b/>
          <w:color w:val="000000" w:themeColor="text1"/>
          <w:sz w:val="32"/>
          <w:szCs w:val="32"/>
        </w:rPr>
        <w:t>第一条</w:t>
      </w:r>
      <w:r>
        <w:rPr>
          <w:rFonts w:hint="eastAsia" w:ascii="仿宋" w:hAnsi="仿宋" w:eastAsia="仿宋" w:cs="Times New Roman"/>
          <w:color w:val="000000" w:themeColor="text1"/>
          <w:sz w:val="32"/>
          <w:szCs w:val="32"/>
        </w:rPr>
        <w:t>为规范和加强事业单位国有资产管理，进一步提高资产管理科学化、精细化、专业化水平，根据《</w:t>
      </w:r>
      <w:r>
        <w:rPr>
          <w:rFonts w:hint="eastAsia" w:ascii="仿宋" w:hAnsi="仿宋" w:eastAsia="仿宋"/>
          <w:color w:val="000000" w:themeColor="text1"/>
          <w:sz w:val="32"/>
          <w:szCs w:val="32"/>
        </w:rPr>
        <w:t>福建省事业单位国有资产管理暂行办法</w:t>
      </w:r>
      <w:r>
        <w:rPr>
          <w:rFonts w:hint="eastAsia" w:ascii="仿宋" w:hAnsi="仿宋" w:eastAsia="仿宋" w:cs="Times New Roman"/>
          <w:color w:val="000000" w:themeColor="text1"/>
          <w:sz w:val="32"/>
          <w:szCs w:val="32"/>
        </w:rPr>
        <w:t>》（</w:t>
      </w:r>
      <w:r>
        <w:rPr>
          <w:rFonts w:hint="eastAsia" w:ascii="仿宋" w:hAnsi="仿宋" w:eastAsia="仿宋"/>
          <w:color w:val="000000" w:themeColor="text1"/>
          <w:sz w:val="32"/>
          <w:szCs w:val="32"/>
        </w:rPr>
        <w:t>闽财办〔2010〕21号</w:t>
      </w:r>
      <w:r>
        <w:rPr>
          <w:rFonts w:hint="eastAsia" w:ascii="仿宋" w:hAnsi="仿宋" w:eastAsia="仿宋" w:cs="Times New Roman"/>
          <w:color w:val="000000" w:themeColor="text1"/>
          <w:sz w:val="32"/>
          <w:szCs w:val="32"/>
        </w:rPr>
        <w:t>）和《关于进一步规范和加强行政事业单位国有资产管理的通知》（闽财资〔2017〕4号）等有关法规制度，结合事业单位国有资产管理工作实际，制定本办法。</w:t>
      </w:r>
    </w:p>
    <w:p>
      <w:pPr>
        <w:spacing w:line="600" w:lineRule="exact"/>
        <w:ind w:right="-42" w:rightChars="-20" w:firstLine="640" w:firstLineChars="200"/>
        <w:rPr>
          <w:rFonts w:ascii="仿宋" w:hAnsi="仿宋" w:eastAsia="仿宋" w:cs="Times New Roman"/>
          <w:color w:val="000000" w:themeColor="text1"/>
          <w:sz w:val="32"/>
          <w:szCs w:val="32"/>
        </w:rPr>
      </w:pPr>
      <w:r>
        <w:rPr>
          <w:rFonts w:hint="eastAsia" w:ascii="仿宋" w:hAnsi="仿宋" w:eastAsia="仿宋" w:cs="Times New Roman"/>
          <w:b/>
          <w:color w:val="000000" w:themeColor="text1"/>
          <w:sz w:val="32"/>
          <w:szCs w:val="32"/>
        </w:rPr>
        <w:t>第二条</w:t>
      </w:r>
      <w:r>
        <w:rPr>
          <w:rFonts w:hint="eastAsia" w:ascii="仿宋" w:hAnsi="仿宋" w:eastAsia="仿宋" w:cs="Times New Roman"/>
          <w:color w:val="000000" w:themeColor="text1"/>
          <w:sz w:val="32"/>
          <w:szCs w:val="32"/>
        </w:rPr>
        <w:t>本办法适用设区市、县（市、区）各级各类事业单位。</w:t>
      </w:r>
    </w:p>
    <w:p>
      <w:pPr>
        <w:spacing w:line="600" w:lineRule="exact"/>
        <w:ind w:right="-42" w:rightChars="-20" w:firstLine="640" w:firstLineChars="200"/>
        <w:rPr>
          <w:rFonts w:ascii="仿宋" w:hAnsi="仿宋" w:eastAsia="仿宋" w:cs="Times New Roman"/>
          <w:color w:val="000000" w:themeColor="text1"/>
          <w:sz w:val="32"/>
          <w:szCs w:val="32"/>
        </w:rPr>
      </w:pPr>
      <w:r>
        <w:rPr>
          <w:rFonts w:hint="eastAsia" w:ascii="仿宋" w:hAnsi="仿宋" w:eastAsia="仿宋" w:cs="Times New Roman"/>
          <w:b/>
          <w:color w:val="000000" w:themeColor="text1"/>
          <w:sz w:val="32"/>
          <w:szCs w:val="32"/>
        </w:rPr>
        <w:t>第三条</w:t>
      </w:r>
      <w:r>
        <w:rPr>
          <w:rFonts w:hint="eastAsia" w:ascii="仿宋" w:hAnsi="仿宋" w:eastAsia="仿宋" w:cs="Times New Roman"/>
          <w:color w:val="000000" w:themeColor="text1"/>
          <w:sz w:val="32"/>
          <w:szCs w:val="32"/>
        </w:rPr>
        <w:t>本办法所称事业单位国有资产管理绩效评价（以下简称资产管理绩效评价），是指以行政事业单位国有资产报告为基础，依据本办法规定的评价内容和指标，对各事业单位资产管理制度建设及执行情况以及国有资产管理效率水平进行量化考核和客观评价，以确定事业单位资产管理效率和管理目标实现程度的活动。</w:t>
      </w:r>
    </w:p>
    <w:p>
      <w:pPr>
        <w:spacing w:line="600" w:lineRule="exact"/>
        <w:ind w:right="-42" w:rightChars="-20" w:firstLine="640" w:firstLineChars="200"/>
        <w:rPr>
          <w:rFonts w:ascii="仿宋" w:hAnsi="仿宋" w:eastAsia="仿宋" w:cs="Times New Roman"/>
          <w:color w:val="000000" w:themeColor="text1"/>
          <w:sz w:val="32"/>
          <w:szCs w:val="32"/>
        </w:rPr>
      </w:pPr>
      <w:r>
        <w:rPr>
          <w:rFonts w:hint="eastAsia" w:ascii="仿宋" w:hAnsi="仿宋" w:eastAsia="仿宋" w:cs="Times New Roman"/>
          <w:b/>
          <w:color w:val="000000" w:themeColor="text1"/>
          <w:sz w:val="32"/>
          <w:szCs w:val="32"/>
        </w:rPr>
        <w:t>第四条</w:t>
      </w:r>
      <w:r>
        <w:rPr>
          <w:rFonts w:hint="eastAsia" w:ascii="仿宋" w:hAnsi="仿宋" w:eastAsia="仿宋" w:cs="Times New Roman"/>
          <w:color w:val="000000" w:themeColor="text1"/>
          <w:sz w:val="32"/>
          <w:szCs w:val="32"/>
        </w:rPr>
        <w:t>资产管理绩效评价应当坚持公开透明、客观公正、严格规范、注重实效、责任追究的原则。</w:t>
      </w:r>
    </w:p>
    <w:p>
      <w:pPr>
        <w:spacing w:line="600" w:lineRule="exact"/>
        <w:ind w:right="-42" w:rightChars="-20" w:firstLine="624" w:firstLineChars="195"/>
        <w:rPr>
          <w:rFonts w:ascii="仿宋" w:hAnsi="仿宋" w:eastAsia="仿宋" w:cs="Times New Roman"/>
          <w:color w:val="000000" w:themeColor="text1"/>
          <w:sz w:val="32"/>
          <w:szCs w:val="32"/>
        </w:rPr>
      </w:pPr>
      <w:r>
        <w:rPr>
          <w:rFonts w:hint="eastAsia" w:ascii="仿宋" w:hAnsi="仿宋" w:eastAsia="仿宋" w:cs="Times New Roman"/>
          <w:b/>
          <w:color w:val="000000" w:themeColor="text1"/>
          <w:sz w:val="32"/>
          <w:szCs w:val="32"/>
        </w:rPr>
        <w:t>第五条</w:t>
      </w:r>
      <w:r>
        <w:rPr>
          <w:rFonts w:hint="eastAsia" w:ascii="仿宋" w:hAnsi="仿宋" w:eastAsia="仿宋" w:cs="Times New Roman"/>
          <w:color w:val="000000" w:themeColor="text1"/>
          <w:sz w:val="32"/>
          <w:szCs w:val="32"/>
        </w:rPr>
        <w:t>资产管理绩效评价以预算年度为周期，实施年度评价。</w:t>
      </w:r>
    </w:p>
    <w:p>
      <w:pPr>
        <w:spacing w:line="600" w:lineRule="exact"/>
        <w:ind w:right="-42" w:rightChars="-20"/>
        <w:jc w:val="center"/>
        <w:rPr>
          <w:rFonts w:ascii="仿宋" w:hAnsi="仿宋" w:eastAsia="仿宋" w:cs="Times New Roman"/>
          <w:b/>
          <w:color w:val="000000" w:themeColor="text1"/>
          <w:sz w:val="32"/>
          <w:szCs w:val="32"/>
        </w:rPr>
      </w:pPr>
      <w:r>
        <w:rPr>
          <w:rFonts w:hint="eastAsia" w:ascii="仿宋" w:hAnsi="仿宋" w:eastAsia="仿宋" w:cs="Times New Roman"/>
          <w:b/>
          <w:color w:val="000000" w:themeColor="text1"/>
          <w:sz w:val="32"/>
          <w:szCs w:val="32"/>
        </w:rPr>
        <w:t>第二章  评价方法及内容</w:t>
      </w:r>
    </w:p>
    <w:p>
      <w:pPr>
        <w:spacing w:line="600" w:lineRule="exact"/>
        <w:ind w:left="980" w:right="-42" w:rightChars="-20"/>
        <w:rPr>
          <w:rFonts w:ascii="仿宋" w:hAnsi="仿宋" w:eastAsia="仿宋" w:cs="Times New Roman"/>
          <w:b/>
          <w:color w:val="000000" w:themeColor="text1"/>
          <w:sz w:val="32"/>
          <w:szCs w:val="32"/>
        </w:rPr>
      </w:pPr>
    </w:p>
    <w:p>
      <w:pPr>
        <w:tabs>
          <w:tab w:val="left" w:pos="1620"/>
        </w:tabs>
        <w:spacing w:line="600" w:lineRule="exact"/>
        <w:ind w:left="-2" w:leftChars="-85" w:right="-42" w:rightChars="-20" w:hanging="176" w:hangingChars="55"/>
        <w:jc w:val="center"/>
        <w:rPr>
          <w:rFonts w:ascii="仿宋" w:hAnsi="仿宋" w:eastAsia="仿宋" w:cs="Times New Roman"/>
          <w:color w:val="000000" w:themeColor="text1"/>
          <w:sz w:val="32"/>
          <w:szCs w:val="32"/>
        </w:rPr>
      </w:pPr>
      <w:r>
        <w:rPr>
          <w:rFonts w:hint="eastAsia" w:ascii="仿宋" w:hAnsi="仿宋" w:eastAsia="仿宋" w:cs="Times New Roman"/>
          <w:b/>
          <w:color w:val="000000" w:themeColor="text1"/>
          <w:sz w:val="32"/>
          <w:szCs w:val="32"/>
        </w:rPr>
        <w:t xml:space="preserve">   第六条</w:t>
      </w:r>
      <w:r>
        <w:rPr>
          <w:rFonts w:hint="eastAsia" w:ascii="仿宋" w:hAnsi="仿宋" w:eastAsia="仿宋" w:cs="Times New Roman"/>
          <w:color w:val="000000" w:themeColor="text1"/>
          <w:sz w:val="32"/>
          <w:szCs w:val="32"/>
        </w:rPr>
        <w:t>资产管理绩效评价采取定性与定量相结合的方法,</w:t>
      </w:r>
    </w:p>
    <w:p>
      <w:pPr>
        <w:tabs>
          <w:tab w:val="left" w:pos="1620"/>
        </w:tabs>
        <w:spacing w:line="600" w:lineRule="exact"/>
        <w:ind w:left="-2" w:leftChars="-85" w:right="-42" w:rightChars="-20" w:hanging="176" w:hangingChars="55"/>
        <w:rPr>
          <w:rFonts w:ascii="仿宋" w:hAnsi="仿宋" w:eastAsia="仿宋" w:cs="Times New Roman"/>
          <w:color w:val="000000" w:themeColor="text1"/>
          <w:sz w:val="32"/>
          <w:szCs w:val="32"/>
        </w:rPr>
      </w:pPr>
      <w:r>
        <w:rPr>
          <w:rFonts w:hint="eastAsia" w:ascii="仿宋" w:hAnsi="仿宋" w:eastAsia="仿宋" w:cs="Times New Roman"/>
          <w:color w:val="000000" w:themeColor="text1"/>
          <w:sz w:val="32"/>
          <w:szCs w:val="32"/>
        </w:rPr>
        <w:t xml:space="preserve"> 主要通过材料审查、现场检查和专项抽查等方式进行。</w:t>
      </w:r>
    </w:p>
    <w:p>
      <w:pPr>
        <w:spacing w:line="600" w:lineRule="exact"/>
        <w:ind w:right="-42" w:rightChars="-20" w:firstLine="640" w:firstLineChars="200"/>
        <w:rPr>
          <w:rFonts w:ascii="仿宋" w:hAnsi="仿宋" w:eastAsia="仿宋" w:cs="Times New Roman"/>
          <w:color w:val="000000" w:themeColor="text1"/>
          <w:sz w:val="32"/>
          <w:szCs w:val="32"/>
        </w:rPr>
      </w:pPr>
      <w:r>
        <w:rPr>
          <w:rFonts w:hint="eastAsia" w:ascii="仿宋" w:hAnsi="仿宋" w:eastAsia="仿宋" w:cs="Times New Roman"/>
          <w:b/>
          <w:color w:val="000000" w:themeColor="text1"/>
          <w:sz w:val="32"/>
          <w:szCs w:val="32"/>
        </w:rPr>
        <w:t>第七条</w:t>
      </w:r>
      <w:r>
        <w:rPr>
          <w:rFonts w:hint="eastAsia" w:ascii="仿宋" w:hAnsi="仿宋" w:eastAsia="仿宋" w:cs="Times New Roman"/>
          <w:color w:val="000000" w:themeColor="text1"/>
          <w:sz w:val="32"/>
          <w:szCs w:val="32"/>
        </w:rPr>
        <w:t>资产管理绩效定性评价的主要内容是事业单位资产管理制度建设与执行情况，具体包括：</w:t>
      </w:r>
    </w:p>
    <w:p>
      <w:pPr>
        <w:spacing w:line="600" w:lineRule="exact"/>
        <w:ind w:right="-42" w:rightChars="-20" w:firstLine="640" w:firstLineChars="200"/>
        <w:rPr>
          <w:rFonts w:ascii="仿宋" w:hAnsi="仿宋" w:eastAsia="仿宋" w:cs="Times New Roman"/>
          <w:color w:val="000000" w:themeColor="text1"/>
          <w:sz w:val="32"/>
          <w:szCs w:val="32"/>
        </w:rPr>
      </w:pPr>
      <w:r>
        <w:rPr>
          <w:rFonts w:hint="eastAsia" w:ascii="仿宋" w:hAnsi="仿宋" w:eastAsia="仿宋" w:cs="Times New Roman"/>
          <w:color w:val="000000" w:themeColor="text1"/>
          <w:sz w:val="32"/>
          <w:szCs w:val="32"/>
        </w:rPr>
        <w:t>（一）资产管理基础工作，主要包括资产管理及内控制度建设、机构人员设置、信息化管理、资产清查盘点和房地产权属登记等情况；</w:t>
      </w:r>
    </w:p>
    <w:p>
      <w:pPr>
        <w:spacing w:line="600" w:lineRule="exact"/>
        <w:ind w:right="-42" w:rightChars="-20" w:firstLine="640" w:firstLineChars="200"/>
        <w:rPr>
          <w:rFonts w:ascii="仿宋" w:hAnsi="仿宋" w:eastAsia="仿宋" w:cs="Times New Roman"/>
          <w:color w:val="000000" w:themeColor="text1"/>
          <w:sz w:val="32"/>
          <w:szCs w:val="32"/>
        </w:rPr>
      </w:pPr>
      <w:r>
        <w:rPr>
          <w:rFonts w:hint="eastAsia" w:ascii="仿宋" w:hAnsi="仿宋" w:eastAsia="仿宋" w:cs="Times New Roman"/>
          <w:color w:val="000000" w:themeColor="text1"/>
          <w:sz w:val="32"/>
          <w:szCs w:val="32"/>
        </w:rPr>
        <w:t>（二）资产配置管理情况；</w:t>
      </w:r>
    </w:p>
    <w:p>
      <w:pPr>
        <w:spacing w:line="600" w:lineRule="exact"/>
        <w:ind w:right="-42" w:rightChars="-20" w:firstLine="640" w:firstLineChars="200"/>
        <w:rPr>
          <w:rFonts w:ascii="仿宋" w:hAnsi="仿宋" w:eastAsia="仿宋" w:cs="Times New Roman"/>
          <w:color w:val="000000" w:themeColor="text1"/>
          <w:sz w:val="32"/>
          <w:szCs w:val="32"/>
        </w:rPr>
      </w:pPr>
      <w:r>
        <w:rPr>
          <w:rFonts w:hint="eastAsia" w:ascii="仿宋" w:hAnsi="仿宋" w:eastAsia="仿宋" w:cs="Times New Roman"/>
          <w:color w:val="000000" w:themeColor="text1"/>
          <w:sz w:val="32"/>
          <w:szCs w:val="32"/>
        </w:rPr>
        <w:t>（三）资产使用管理情况；</w:t>
      </w:r>
    </w:p>
    <w:p>
      <w:pPr>
        <w:spacing w:line="600" w:lineRule="exact"/>
        <w:ind w:right="-42" w:rightChars="-20" w:firstLine="640" w:firstLineChars="200"/>
        <w:rPr>
          <w:rFonts w:ascii="仿宋" w:hAnsi="仿宋" w:eastAsia="仿宋" w:cs="Times New Roman"/>
          <w:color w:val="000000" w:themeColor="text1"/>
          <w:sz w:val="32"/>
          <w:szCs w:val="32"/>
        </w:rPr>
      </w:pPr>
      <w:r>
        <w:rPr>
          <w:rFonts w:hint="eastAsia" w:ascii="仿宋" w:hAnsi="仿宋" w:eastAsia="仿宋" w:cs="Times New Roman"/>
          <w:color w:val="000000" w:themeColor="text1"/>
          <w:sz w:val="32"/>
          <w:szCs w:val="32"/>
        </w:rPr>
        <w:t>（四）资产处置管理情况；</w:t>
      </w:r>
    </w:p>
    <w:p>
      <w:pPr>
        <w:spacing w:line="600" w:lineRule="exact"/>
        <w:ind w:right="-42" w:rightChars="-20" w:firstLine="640" w:firstLineChars="200"/>
        <w:rPr>
          <w:rFonts w:ascii="仿宋" w:hAnsi="仿宋" w:eastAsia="仿宋" w:cs="Times New Roman"/>
          <w:color w:val="000000" w:themeColor="text1"/>
          <w:sz w:val="32"/>
          <w:szCs w:val="32"/>
        </w:rPr>
      </w:pPr>
      <w:r>
        <w:rPr>
          <w:rFonts w:hint="eastAsia" w:ascii="仿宋" w:hAnsi="仿宋" w:eastAsia="仿宋" w:cs="Times New Roman"/>
          <w:color w:val="000000" w:themeColor="text1"/>
          <w:sz w:val="32"/>
          <w:szCs w:val="32"/>
        </w:rPr>
        <w:t>（五）资产统计报告与产权登记情况；</w:t>
      </w:r>
    </w:p>
    <w:p>
      <w:pPr>
        <w:spacing w:line="600" w:lineRule="exact"/>
        <w:ind w:right="-42" w:rightChars="-20" w:firstLine="640" w:firstLineChars="200"/>
        <w:rPr>
          <w:rFonts w:ascii="仿宋" w:hAnsi="仿宋" w:eastAsia="仿宋" w:cs="Times New Roman"/>
          <w:color w:val="000000" w:themeColor="text1"/>
          <w:sz w:val="32"/>
          <w:szCs w:val="32"/>
        </w:rPr>
      </w:pPr>
      <w:r>
        <w:rPr>
          <w:rFonts w:hint="eastAsia" w:ascii="仿宋" w:hAnsi="仿宋" w:eastAsia="仿宋" w:cs="Times New Roman"/>
          <w:color w:val="000000" w:themeColor="text1"/>
          <w:sz w:val="32"/>
          <w:szCs w:val="32"/>
        </w:rPr>
        <w:t>（六）与资产管理绩效相关的其他事项。</w:t>
      </w:r>
    </w:p>
    <w:p>
      <w:pPr>
        <w:spacing w:line="600" w:lineRule="exact"/>
        <w:ind w:right="-42" w:rightChars="-20" w:firstLine="640" w:firstLineChars="200"/>
        <w:rPr>
          <w:rFonts w:ascii="仿宋" w:hAnsi="仿宋" w:eastAsia="仿宋" w:cs="Times New Roman"/>
          <w:color w:val="000000" w:themeColor="text1"/>
          <w:sz w:val="32"/>
          <w:szCs w:val="32"/>
        </w:rPr>
      </w:pPr>
      <w:r>
        <w:rPr>
          <w:rFonts w:hint="eastAsia" w:ascii="仿宋" w:hAnsi="仿宋" w:eastAsia="仿宋" w:cs="Times New Roman"/>
          <w:b/>
          <w:color w:val="000000" w:themeColor="text1"/>
          <w:sz w:val="32"/>
          <w:szCs w:val="32"/>
        </w:rPr>
        <w:t>第八条</w:t>
      </w:r>
      <w:r>
        <w:rPr>
          <w:rFonts w:hint="eastAsia" w:ascii="仿宋" w:hAnsi="仿宋" w:eastAsia="仿宋" w:cs="Times New Roman"/>
          <w:color w:val="000000" w:themeColor="text1"/>
          <w:sz w:val="32"/>
          <w:szCs w:val="32"/>
        </w:rPr>
        <w:t>资产管理绩效定量评价的主要内容是事业单位资产管理效率水平，具体包括：</w:t>
      </w:r>
    </w:p>
    <w:p>
      <w:pPr>
        <w:spacing w:line="600" w:lineRule="exact"/>
        <w:ind w:right="-42" w:rightChars="-20" w:firstLine="640" w:firstLineChars="200"/>
        <w:rPr>
          <w:rFonts w:ascii="仿宋" w:hAnsi="仿宋" w:eastAsia="仿宋" w:cs="Times New Roman"/>
          <w:color w:val="000000" w:themeColor="text1"/>
          <w:sz w:val="32"/>
          <w:szCs w:val="32"/>
        </w:rPr>
      </w:pPr>
      <w:r>
        <w:rPr>
          <w:rFonts w:hint="eastAsia" w:ascii="仿宋" w:hAnsi="仿宋" w:eastAsia="仿宋" w:cs="Times New Roman"/>
          <w:color w:val="000000" w:themeColor="text1"/>
          <w:sz w:val="32"/>
          <w:szCs w:val="32"/>
        </w:rPr>
        <w:t>（一）资产保障水平指标，主要包括人均通用设备、人均家具用具、办公用房等占有情况，以及货币资金、应收账款、其他应收款、净资产等资产占比情况，重点评价单位资产配置及比重情况的合理性；</w:t>
      </w:r>
    </w:p>
    <w:p>
      <w:pPr>
        <w:spacing w:line="600" w:lineRule="exact"/>
        <w:ind w:right="-42" w:rightChars="-20" w:firstLine="640" w:firstLineChars="200"/>
        <w:rPr>
          <w:rFonts w:ascii="仿宋" w:hAnsi="仿宋" w:eastAsia="仿宋" w:cs="Times New Roman"/>
          <w:color w:val="000000" w:themeColor="text1"/>
          <w:sz w:val="32"/>
          <w:szCs w:val="32"/>
        </w:rPr>
      </w:pPr>
      <w:r>
        <w:rPr>
          <w:rFonts w:hint="eastAsia" w:ascii="仿宋" w:hAnsi="仿宋" w:eastAsia="仿宋" w:cs="Times New Roman"/>
          <w:color w:val="000000" w:themeColor="text1"/>
          <w:sz w:val="32"/>
          <w:szCs w:val="32"/>
        </w:rPr>
        <w:t>（二）资产运行效率指标，主要包括资产配置预算执行率、办公设备家具配置费用节约率、资产利用率、资产出租出借及处置公开交易率、家具用具增长率、通用设备增长率、电子废弃物环保回收处置率等，重点评价单位资产管理工作的规范性及效率水平；</w:t>
      </w:r>
    </w:p>
    <w:p>
      <w:pPr>
        <w:spacing w:line="600" w:lineRule="exact"/>
        <w:ind w:right="-42" w:rightChars="-20" w:firstLine="640" w:firstLineChars="200"/>
        <w:rPr>
          <w:rFonts w:ascii="仿宋" w:hAnsi="仿宋" w:eastAsia="仿宋" w:cs="Times New Roman"/>
          <w:color w:val="000000" w:themeColor="text1"/>
          <w:sz w:val="32"/>
          <w:szCs w:val="32"/>
        </w:rPr>
      </w:pPr>
      <w:r>
        <w:rPr>
          <w:rFonts w:hint="eastAsia" w:ascii="仿宋" w:hAnsi="仿宋" w:eastAsia="仿宋" w:cs="Times New Roman"/>
          <w:color w:val="000000" w:themeColor="text1"/>
          <w:sz w:val="32"/>
          <w:szCs w:val="32"/>
        </w:rPr>
        <w:t>（三）资产安全性指标，主要包括应收账款、其他应收账款不良率、固定资产完整率、对外投资企业保值增值率，重点评价单位保障国有资产安全、完整情况。</w:t>
      </w:r>
    </w:p>
    <w:p>
      <w:pPr>
        <w:spacing w:line="600" w:lineRule="exact"/>
        <w:ind w:right="-42" w:rightChars="-20"/>
        <w:rPr>
          <w:rFonts w:ascii="仿宋" w:hAnsi="仿宋" w:eastAsia="仿宋" w:cs="Times New Roman"/>
          <w:color w:val="000000" w:themeColor="text1"/>
          <w:sz w:val="32"/>
          <w:szCs w:val="32"/>
        </w:rPr>
      </w:pPr>
    </w:p>
    <w:p>
      <w:pPr>
        <w:spacing w:line="600" w:lineRule="exact"/>
        <w:ind w:right="-42" w:rightChars="-20"/>
        <w:jc w:val="center"/>
        <w:rPr>
          <w:rFonts w:ascii="仿宋" w:hAnsi="仿宋" w:eastAsia="仿宋" w:cs="Times New Roman"/>
          <w:b/>
          <w:color w:val="000000" w:themeColor="text1"/>
          <w:sz w:val="32"/>
          <w:szCs w:val="32"/>
        </w:rPr>
      </w:pPr>
      <w:r>
        <w:rPr>
          <w:rFonts w:hint="eastAsia" w:ascii="仿宋" w:hAnsi="仿宋" w:eastAsia="仿宋" w:cs="Times New Roman"/>
          <w:b/>
          <w:color w:val="000000" w:themeColor="text1"/>
          <w:sz w:val="32"/>
          <w:szCs w:val="32"/>
        </w:rPr>
        <w:t>第三章  组织实施与结果应用</w:t>
      </w:r>
    </w:p>
    <w:p>
      <w:pPr>
        <w:spacing w:line="600" w:lineRule="exact"/>
        <w:ind w:right="-42" w:rightChars="-20"/>
        <w:jc w:val="center"/>
        <w:rPr>
          <w:rFonts w:ascii="仿宋" w:hAnsi="仿宋" w:eastAsia="仿宋" w:cs="Times New Roman"/>
          <w:b/>
          <w:color w:val="000000" w:themeColor="text1"/>
          <w:sz w:val="32"/>
          <w:szCs w:val="32"/>
        </w:rPr>
      </w:pPr>
    </w:p>
    <w:p>
      <w:pPr>
        <w:spacing w:line="600" w:lineRule="exact"/>
        <w:ind w:right="-42" w:rightChars="-20" w:firstLine="640" w:firstLineChars="200"/>
        <w:rPr>
          <w:rFonts w:ascii="仿宋" w:hAnsi="仿宋" w:eastAsia="仿宋" w:cs="Times New Roman"/>
          <w:color w:val="000000" w:themeColor="text1"/>
          <w:sz w:val="32"/>
          <w:szCs w:val="32"/>
        </w:rPr>
      </w:pPr>
      <w:r>
        <w:rPr>
          <w:rFonts w:hint="eastAsia" w:ascii="仿宋" w:hAnsi="仿宋" w:eastAsia="仿宋" w:cs="Times New Roman"/>
          <w:b/>
          <w:color w:val="000000" w:themeColor="text1"/>
          <w:sz w:val="32"/>
          <w:szCs w:val="32"/>
        </w:rPr>
        <w:t>第九条</w:t>
      </w:r>
      <w:r>
        <w:rPr>
          <w:rFonts w:hint="eastAsia" w:ascii="仿宋" w:hAnsi="仿宋" w:eastAsia="仿宋" w:cs="Times New Roman"/>
          <w:color w:val="000000" w:themeColor="text1"/>
          <w:sz w:val="32"/>
          <w:szCs w:val="32"/>
        </w:rPr>
        <w:t>事业单位国有资产管理绩效评价采取“统一政策、层级管理、分级实施”的办法。</w:t>
      </w:r>
    </w:p>
    <w:p>
      <w:pPr>
        <w:spacing w:line="600" w:lineRule="exact"/>
        <w:ind w:right="-42" w:rightChars="-20" w:firstLine="640" w:firstLineChars="200"/>
        <w:rPr>
          <w:rFonts w:ascii="仿宋" w:hAnsi="仿宋" w:eastAsia="仿宋" w:cs="Times New Roman"/>
          <w:color w:val="000000" w:themeColor="text1"/>
          <w:sz w:val="32"/>
          <w:szCs w:val="32"/>
        </w:rPr>
      </w:pPr>
      <w:r>
        <w:rPr>
          <w:rFonts w:hint="eastAsia" w:ascii="仿宋" w:hAnsi="仿宋" w:eastAsia="仿宋" w:cs="Times New Roman"/>
          <w:b/>
          <w:color w:val="000000" w:themeColor="text1"/>
          <w:sz w:val="32"/>
          <w:szCs w:val="32"/>
        </w:rPr>
        <w:t>第十条</w:t>
      </w:r>
      <w:r>
        <w:rPr>
          <w:rFonts w:hint="eastAsia" w:ascii="仿宋" w:hAnsi="仿宋" w:eastAsia="仿宋" w:cs="Times New Roman"/>
          <w:color w:val="000000" w:themeColor="text1"/>
          <w:sz w:val="32"/>
          <w:szCs w:val="32"/>
        </w:rPr>
        <w:t>各地财政部门可结合实际情况制定本地区事业单位资产管理绩效评价制度，建立和完善评价指标体系，合理确定各项评价指标权重分值，负责组织实施本地区资产管理绩效评价工作，并于每年10月底前将工作开展情况报送省财政厅。</w:t>
      </w:r>
    </w:p>
    <w:p>
      <w:pPr>
        <w:spacing w:line="600" w:lineRule="exact"/>
        <w:ind w:right="-42" w:rightChars="-20" w:firstLine="640" w:firstLineChars="200"/>
        <w:rPr>
          <w:rFonts w:ascii="仿宋" w:hAnsi="仿宋" w:eastAsia="仿宋" w:cs="Times New Roman"/>
          <w:color w:val="000000" w:themeColor="text1"/>
          <w:sz w:val="32"/>
          <w:szCs w:val="32"/>
        </w:rPr>
      </w:pPr>
      <w:r>
        <w:rPr>
          <w:rFonts w:hint="eastAsia" w:ascii="仿宋" w:hAnsi="仿宋" w:eastAsia="仿宋" w:cs="Times New Roman"/>
          <w:b/>
          <w:color w:val="000000" w:themeColor="text1"/>
          <w:sz w:val="32"/>
          <w:szCs w:val="32"/>
        </w:rPr>
        <w:t>第十一条</w:t>
      </w:r>
      <w:r>
        <w:rPr>
          <w:rFonts w:hint="eastAsia" w:ascii="仿宋" w:hAnsi="仿宋" w:eastAsia="仿宋" w:cs="Times New Roman"/>
          <w:color w:val="000000" w:themeColor="text1"/>
          <w:sz w:val="32"/>
          <w:szCs w:val="32"/>
        </w:rPr>
        <w:t>各级主管部门负责组织实施本部门所属事业单位国有资产管理绩效评价工作，审核、汇总所属事业单位资产绩效自评工作情况，撰写自评报告，统一报送同级财政部门。</w:t>
      </w:r>
    </w:p>
    <w:p>
      <w:pPr>
        <w:spacing w:line="600" w:lineRule="exact"/>
        <w:ind w:right="-42" w:rightChars="-20" w:firstLine="640" w:firstLineChars="200"/>
        <w:rPr>
          <w:rFonts w:ascii="仿宋" w:hAnsi="仿宋" w:eastAsia="仿宋" w:cs="Times New Roman"/>
          <w:color w:val="000000" w:themeColor="text1"/>
          <w:sz w:val="32"/>
          <w:szCs w:val="32"/>
        </w:rPr>
      </w:pPr>
      <w:r>
        <w:rPr>
          <w:rFonts w:hint="eastAsia" w:ascii="仿宋" w:hAnsi="仿宋" w:eastAsia="仿宋" w:cs="Times New Roman"/>
          <w:b/>
          <w:color w:val="000000" w:themeColor="text1"/>
          <w:sz w:val="32"/>
          <w:szCs w:val="32"/>
        </w:rPr>
        <w:t>第十二条</w:t>
      </w:r>
      <w:r>
        <w:rPr>
          <w:rFonts w:hint="eastAsia" w:ascii="仿宋" w:hAnsi="仿宋" w:eastAsia="仿宋" w:cs="Times New Roman"/>
          <w:color w:val="000000" w:themeColor="text1"/>
          <w:sz w:val="32"/>
          <w:szCs w:val="32"/>
        </w:rPr>
        <w:t>各级事业单位按照本办法及绩效评价工作相关要求，对上一年度本单位国有资产管理绩效进行自评，并将自评材料报送主管部门。</w:t>
      </w:r>
    </w:p>
    <w:p>
      <w:pPr>
        <w:spacing w:line="600" w:lineRule="exact"/>
        <w:ind w:right="-42" w:rightChars="-20" w:firstLine="640" w:firstLineChars="200"/>
        <w:rPr>
          <w:rFonts w:ascii="仿宋" w:hAnsi="仿宋" w:eastAsia="仿宋" w:cs="Times New Roman"/>
          <w:color w:val="000000" w:themeColor="text1"/>
          <w:sz w:val="32"/>
          <w:szCs w:val="32"/>
        </w:rPr>
      </w:pPr>
      <w:r>
        <w:rPr>
          <w:rFonts w:hint="eastAsia" w:ascii="仿宋" w:hAnsi="仿宋" w:eastAsia="仿宋" w:cs="Times New Roman"/>
          <w:b/>
          <w:color w:val="000000" w:themeColor="text1"/>
          <w:sz w:val="32"/>
          <w:szCs w:val="32"/>
        </w:rPr>
        <w:t>第十三条</w:t>
      </w:r>
      <w:r>
        <w:rPr>
          <w:rFonts w:hint="eastAsia" w:ascii="仿宋" w:hAnsi="仿宋" w:eastAsia="仿宋" w:cs="Times New Roman"/>
          <w:color w:val="000000" w:themeColor="text1"/>
          <w:sz w:val="32"/>
          <w:szCs w:val="32"/>
        </w:rPr>
        <w:t xml:space="preserve">各地财政部门牵头组建评价工作组，审核各部门报送的相关数据和材料，实地抽查部门资产管理情况，确定资产管理绩效评价得分。 </w:t>
      </w:r>
    </w:p>
    <w:p>
      <w:pPr>
        <w:spacing w:line="600" w:lineRule="exact"/>
        <w:ind w:right="-42" w:rightChars="-20" w:firstLine="640" w:firstLineChars="200"/>
        <w:rPr>
          <w:rFonts w:ascii="仿宋" w:hAnsi="仿宋" w:eastAsia="仿宋" w:cs="Times New Roman"/>
          <w:color w:val="000000" w:themeColor="text1"/>
          <w:sz w:val="32"/>
          <w:szCs w:val="32"/>
        </w:rPr>
      </w:pPr>
      <w:r>
        <w:rPr>
          <w:rFonts w:hint="eastAsia" w:ascii="仿宋" w:hAnsi="仿宋" w:eastAsia="仿宋" w:cs="Times New Roman"/>
          <w:b/>
          <w:color w:val="000000" w:themeColor="text1"/>
          <w:sz w:val="32"/>
          <w:szCs w:val="32"/>
        </w:rPr>
        <w:t>第十四条</w:t>
      </w:r>
      <w:r>
        <w:rPr>
          <w:rFonts w:hint="eastAsia" w:ascii="仿宋" w:hAnsi="仿宋" w:eastAsia="仿宋" w:cs="Times New Roman"/>
          <w:color w:val="000000" w:themeColor="text1"/>
          <w:sz w:val="32"/>
          <w:szCs w:val="32"/>
        </w:rPr>
        <w:t>各地财政部门根据绩效评价得分初步确定资产评价结果，各部门对结果有异议的，可在收到初步评价结果后10个工作日内向财政部门提出，各地财政部门核实后确定最终评价结果。</w:t>
      </w:r>
    </w:p>
    <w:p>
      <w:pPr>
        <w:spacing w:line="600" w:lineRule="exact"/>
        <w:ind w:right="-42" w:rightChars="-20" w:firstLine="640" w:firstLineChars="200"/>
        <w:rPr>
          <w:rFonts w:ascii="仿宋" w:hAnsi="仿宋" w:eastAsia="仿宋" w:cs="Times New Roman"/>
          <w:color w:val="000000" w:themeColor="text1"/>
          <w:sz w:val="32"/>
          <w:szCs w:val="32"/>
        </w:rPr>
      </w:pPr>
      <w:r>
        <w:rPr>
          <w:rFonts w:hint="eastAsia" w:ascii="仿宋" w:hAnsi="仿宋" w:eastAsia="仿宋" w:cs="Times New Roman"/>
          <w:b/>
          <w:color w:val="000000" w:themeColor="text1"/>
          <w:sz w:val="32"/>
          <w:szCs w:val="32"/>
        </w:rPr>
        <w:t>第十五条</w:t>
      </w:r>
      <w:r>
        <w:rPr>
          <w:rFonts w:hint="eastAsia" w:ascii="仿宋" w:hAnsi="仿宋" w:eastAsia="仿宋" w:cs="Times New Roman"/>
          <w:color w:val="000000" w:themeColor="text1"/>
          <w:sz w:val="32"/>
          <w:szCs w:val="32"/>
        </w:rPr>
        <w:t>各地财政部门对资产管理绩效评价最终结果进行通报，考评结果作为经费安排和资产配置预算的参考依据。</w:t>
      </w:r>
    </w:p>
    <w:p>
      <w:pPr>
        <w:tabs>
          <w:tab w:val="left" w:pos="2160"/>
        </w:tabs>
        <w:spacing w:line="600" w:lineRule="exact"/>
        <w:ind w:right="-42" w:rightChars="-20"/>
        <w:rPr>
          <w:rFonts w:ascii="仿宋" w:hAnsi="仿宋" w:eastAsia="仿宋" w:cs="Times New Roman"/>
          <w:color w:val="000000" w:themeColor="text1"/>
          <w:sz w:val="32"/>
          <w:szCs w:val="32"/>
        </w:rPr>
      </w:pPr>
    </w:p>
    <w:p>
      <w:pPr>
        <w:spacing w:line="600" w:lineRule="exact"/>
        <w:ind w:right="-42" w:rightChars="-20"/>
        <w:jc w:val="center"/>
        <w:rPr>
          <w:rFonts w:ascii="仿宋" w:hAnsi="仿宋" w:eastAsia="仿宋" w:cs="Times New Roman"/>
          <w:b/>
          <w:color w:val="000000" w:themeColor="text1"/>
          <w:sz w:val="32"/>
          <w:szCs w:val="32"/>
        </w:rPr>
      </w:pPr>
      <w:r>
        <w:rPr>
          <w:rFonts w:hint="eastAsia" w:ascii="仿宋" w:hAnsi="仿宋" w:eastAsia="仿宋" w:cs="Times New Roman"/>
          <w:b/>
          <w:color w:val="000000" w:themeColor="text1"/>
          <w:sz w:val="32"/>
          <w:szCs w:val="32"/>
        </w:rPr>
        <w:t>第四章  附则</w:t>
      </w:r>
    </w:p>
    <w:p>
      <w:pPr>
        <w:spacing w:line="600" w:lineRule="exact"/>
        <w:ind w:right="-42" w:rightChars="-20"/>
        <w:rPr>
          <w:rFonts w:ascii="仿宋" w:hAnsi="仿宋" w:eastAsia="仿宋" w:cs="Times New Roman"/>
          <w:b/>
          <w:color w:val="000000" w:themeColor="text1"/>
          <w:sz w:val="32"/>
          <w:szCs w:val="32"/>
        </w:rPr>
      </w:pPr>
    </w:p>
    <w:p>
      <w:pPr>
        <w:spacing w:line="600" w:lineRule="exact"/>
        <w:ind w:firstLine="640"/>
        <w:rPr>
          <w:rFonts w:ascii="仿宋" w:hAnsi="仿宋" w:eastAsia="仿宋" w:cs="Times New Roman"/>
          <w:color w:val="000000" w:themeColor="text1"/>
          <w:sz w:val="32"/>
          <w:szCs w:val="32"/>
        </w:rPr>
      </w:pPr>
      <w:r>
        <w:rPr>
          <w:rFonts w:ascii="仿宋" w:hAnsi="仿宋" w:eastAsia="仿宋" w:cs="Times New Roman"/>
          <w:b/>
          <w:color w:val="000000" w:themeColor="text1"/>
          <w:sz w:val="32"/>
          <w:szCs w:val="32"/>
        </w:rPr>
        <w:t>第</w:t>
      </w:r>
      <w:r>
        <w:rPr>
          <w:rFonts w:hint="eastAsia" w:ascii="仿宋" w:hAnsi="仿宋" w:eastAsia="仿宋" w:cs="Times New Roman"/>
          <w:b/>
          <w:color w:val="000000" w:themeColor="text1"/>
          <w:sz w:val="32"/>
          <w:szCs w:val="32"/>
        </w:rPr>
        <w:t>十六</w:t>
      </w:r>
      <w:r>
        <w:rPr>
          <w:rFonts w:ascii="仿宋" w:hAnsi="仿宋" w:eastAsia="仿宋" w:cs="Times New Roman"/>
          <w:b/>
          <w:color w:val="000000" w:themeColor="text1"/>
          <w:sz w:val="32"/>
          <w:szCs w:val="32"/>
        </w:rPr>
        <w:t>条</w:t>
      </w:r>
      <w:r>
        <w:rPr>
          <w:rFonts w:hint="eastAsia" w:ascii="仿宋" w:hAnsi="仿宋" w:eastAsia="仿宋" w:cs="Times New Roman"/>
          <w:color w:val="000000" w:themeColor="text1"/>
          <w:sz w:val="32"/>
          <w:szCs w:val="32"/>
        </w:rPr>
        <w:t>各级事业单位</w:t>
      </w:r>
      <w:r>
        <w:rPr>
          <w:rFonts w:ascii="仿宋" w:hAnsi="仿宋" w:eastAsia="仿宋" w:cs="Times New Roman"/>
          <w:color w:val="000000" w:themeColor="text1"/>
          <w:sz w:val="32"/>
          <w:szCs w:val="32"/>
        </w:rPr>
        <w:t>应当按照资产管理绩效评价要求组织开展自评、接受外部</w:t>
      </w:r>
      <w:r>
        <w:rPr>
          <w:rFonts w:hint="eastAsia" w:ascii="仿宋" w:hAnsi="仿宋" w:eastAsia="仿宋" w:cs="Times New Roman"/>
          <w:color w:val="000000" w:themeColor="text1"/>
          <w:sz w:val="32"/>
          <w:szCs w:val="32"/>
        </w:rPr>
        <w:t>考评</w:t>
      </w:r>
      <w:r>
        <w:rPr>
          <w:rFonts w:ascii="仿宋" w:hAnsi="仿宋" w:eastAsia="仿宋" w:cs="Times New Roman"/>
          <w:color w:val="000000" w:themeColor="text1"/>
          <w:sz w:val="32"/>
          <w:szCs w:val="32"/>
        </w:rPr>
        <w:t>等工作，并对本单位提供的绩效评价相关数据和材料的真实性、完整性等负责。</w:t>
      </w:r>
    </w:p>
    <w:p>
      <w:pPr>
        <w:tabs>
          <w:tab w:val="left" w:pos="2160"/>
        </w:tabs>
        <w:spacing w:line="600" w:lineRule="exact"/>
        <w:ind w:right="-42" w:rightChars="-20" w:firstLine="640" w:firstLineChars="200"/>
        <w:rPr>
          <w:rFonts w:ascii="仿宋" w:hAnsi="仿宋" w:eastAsia="仿宋" w:cs="Times New Roman"/>
          <w:color w:val="000000" w:themeColor="text1"/>
          <w:sz w:val="32"/>
          <w:szCs w:val="32"/>
        </w:rPr>
      </w:pPr>
      <w:r>
        <w:rPr>
          <w:rFonts w:hint="eastAsia" w:ascii="仿宋" w:hAnsi="仿宋" w:eastAsia="仿宋" w:cs="Times New Roman"/>
          <w:b/>
          <w:color w:val="000000" w:themeColor="text1"/>
          <w:sz w:val="32"/>
          <w:szCs w:val="32"/>
        </w:rPr>
        <w:t>第十七条</w:t>
      </w:r>
      <w:r>
        <w:rPr>
          <w:rFonts w:hint="eastAsia" w:ascii="仿宋" w:hAnsi="仿宋" w:eastAsia="仿宋" w:cs="Times New Roman"/>
          <w:color w:val="000000" w:themeColor="text1"/>
          <w:sz w:val="32"/>
          <w:szCs w:val="32"/>
        </w:rPr>
        <w:t>对资产管理绩效评价工作组织不力、敷衍推诿、弄虚作假的，以及在绩效考评中发现的违反资产管理相关规定，造成资产损失的，依照有关规定追究责任。</w:t>
      </w:r>
    </w:p>
    <w:p>
      <w:pPr>
        <w:spacing w:line="600" w:lineRule="exact"/>
        <w:ind w:right="-42" w:rightChars="-20" w:firstLine="640" w:firstLineChars="200"/>
        <w:rPr>
          <w:rFonts w:ascii="仿宋" w:hAnsi="仿宋" w:eastAsia="仿宋" w:cs="Times New Roman"/>
          <w:color w:val="000000" w:themeColor="text1"/>
          <w:sz w:val="32"/>
          <w:szCs w:val="32"/>
        </w:rPr>
      </w:pPr>
      <w:r>
        <w:rPr>
          <w:rFonts w:hint="eastAsia" w:ascii="仿宋" w:hAnsi="仿宋" w:eastAsia="仿宋" w:cs="Times New Roman"/>
          <w:b/>
          <w:color w:val="000000" w:themeColor="text1"/>
          <w:sz w:val="32"/>
          <w:szCs w:val="32"/>
        </w:rPr>
        <w:t>第十八条</w:t>
      </w:r>
      <w:r>
        <w:rPr>
          <w:rFonts w:hint="eastAsia" w:ascii="仿宋" w:hAnsi="仿宋" w:eastAsia="仿宋" w:cs="Times New Roman"/>
          <w:color w:val="000000" w:themeColor="text1"/>
          <w:sz w:val="32"/>
          <w:szCs w:val="32"/>
        </w:rPr>
        <w:t>本办法由福建省财政厅负责解释。</w:t>
      </w:r>
    </w:p>
    <w:p>
      <w:pPr>
        <w:spacing w:line="600" w:lineRule="exact"/>
        <w:ind w:right="-42" w:rightChars="-20" w:firstLine="640" w:firstLineChars="200"/>
        <w:rPr>
          <w:rFonts w:ascii="仿宋" w:hAnsi="仿宋" w:eastAsia="仿宋" w:cs="Times New Roman"/>
          <w:color w:val="000000" w:themeColor="text1"/>
          <w:sz w:val="32"/>
          <w:szCs w:val="32"/>
        </w:rPr>
      </w:pPr>
      <w:r>
        <w:rPr>
          <w:rFonts w:hint="eastAsia" w:ascii="仿宋" w:hAnsi="仿宋" w:eastAsia="仿宋" w:cs="Times New Roman"/>
          <w:b/>
          <w:color w:val="000000" w:themeColor="text1"/>
          <w:sz w:val="32"/>
          <w:szCs w:val="32"/>
        </w:rPr>
        <w:t>第十九条</w:t>
      </w:r>
      <w:r>
        <w:rPr>
          <w:rFonts w:hint="eastAsia" w:ascii="仿宋" w:hAnsi="仿宋" w:eastAsia="仿宋" w:cs="Times New Roman"/>
          <w:color w:val="000000" w:themeColor="text1"/>
          <w:sz w:val="32"/>
          <w:szCs w:val="32"/>
        </w:rPr>
        <w:t>本办法自印发之日起施行。</w:t>
      </w:r>
    </w:p>
    <w:sectPr>
      <w:footerReference r:id="rId5" w:type="first"/>
      <w:footerReference r:id="rId3" w:type="default"/>
      <w:footerReference r:id="rId4" w:type="even"/>
      <w:pgSz w:w="11906" w:h="16838"/>
      <w:pgMar w:top="2098" w:right="1361" w:bottom="1985" w:left="1588" w:header="397" w:footer="1588" w:gutter="0"/>
      <w:cols w:space="720" w:num="1"/>
      <w:docGrid w:type="linesAndChars" w:linePitch="615" w:charSpace="-2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page" w:x="9362" w:y="88"/>
      <w:rPr>
        <w:rStyle w:val="9"/>
        <w:rFonts w:ascii="宋体" w:hAnsi="宋体" w:eastAsia="宋体"/>
        <w:sz w:val="24"/>
        <w:szCs w:val="24"/>
      </w:rPr>
    </w:pPr>
    <w:r>
      <w:rPr>
        <w:rStyle w:val="9"/>
        <w:rFonts w:hint="eastAsia" w:ascii="宋体" w:hAnsi="宋体" w:eastAsia="宋体"/>
        <w:sz w:val="24"/>
        <w:szCs w:val="24"/>
      </w:rPr>
      <w:t xml:space="preserve">— </w:t>
    </w:r>
    <w:r>
      <w:rPr>
        <w:rFonts w:ascii="宋体" w:hAnsi="宋体" w:eastAsia="宋体"/>
        <w:sz w:val="28"/>
        <w:szCs w:val="28"/>
      </w:rPr>
      <w:fldChar w:fldCharType="begin"/>
    </w:r>
    <w:r>
      <w:rPr>
        <w:rStyle w:val="9"/>
        <w:rFonts w:ascii="宋体" w:hAnsi="宋体" w:eastAsia="宋体"/>
        <w:sz w:val="28"/>
        <w:szCs w:val="28"/>
      </w:rPr>
      <w:instrText xml:space="preserve">PAGE  </w:instrText>
    </w:r>
    <w:r>
      <w:rPr>
        <w:rFonts w:ascii="宋体" w:hAnsi="宋体" w:eastAsia="宋体"/>
        <w:sz w:val="28"/>
        <w:szCs w:val="28"/>
      </w:rPr>
      <w:fldChar w:fldCharType="separate"/>
    </w:r>
    <w:r>
      <w:rPr>
        <w:rStyle w:val="9"/>
        <w:rFonts w:ascii="宋体" w:hAnsi="宋体" w:eastAsia="宋体"/>
        <w:sz w:val="28"/>
        <w:szCs w:val="28"/>
      </w:rPr>
      <w:t>1</w:t>
    </w:r>
    <w:r>
      <w:rPr>
        <w:rFonts w:ascii="宋体" w:hAnsi="宋体" w:eastAsia="宋体"/>
        <w:sz w:val="28"/>
        <w:szCs w:val="28"/>
      </w:rPr>
      <w:fldChar w:fldCharType="end"/>
    </w:r>
    <w:r>
      <w:rPr>
        <w:rStyle w:val="9"/>
        <w:rFonts w:hint="eastAsia" w:ascii="宋体" w:hAnsi="宋体" w:eastAsia="宋体"/>
        <w:sz w:val="24"/>
        <w:szCs w:val="24"/>
      </w:rPr>
      <w:t xml:space="preserve"> —       </w:t>
    </w:r>
  </w:p>
  <w:p>
    <w:pPr>
      <w:pStyle w:val="4"/>
      <w:tabs>
        <w:tab w:val="right" w:pos="8820"/>
        <w:tab w:val="clear" w:pos="8306"/>
      </w:tabs>
      <w:ind w:right="317" w:firstLine="360"/>
      <w:jc w:val="right"/>
      <w:rPr>
        <w:sz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page" w:x="1362" w:y="-27"/>
      <w:ind w:firstLine="319" w:firstLineChars="133"/>
      <w:rPr>
        <w:rStyle w:val="9"/>
        <w:rFonts w:ascii="宋体" w:hAnsi="宋体" w:eastAsia="宋体"/>
        <w:sz w:val="24"/>
        <w:szCs w:val="24"/>
      </w:rPr>
    </w:pPr>
    <w:r>
      <w:rPr>
        <w:rStyle w:val="9"/>
        <w:rFonts w:hint="eastAsia" w:ascii="宋体" w:hAnsi="宋体" w:eastAsia="宋体"/>
        <w:sz w:val="24"/>
        <w:szCs w:val="24"/>
      </w:rPr>
      <w:t xml:space="preserve">— </w:t>
    </w:r>
    <w:r>
      <w:rPr>
        <w:rFonts w:ascii="宋体" w:hAnsi="宋体" w:eastAsia="宋体"/>
        <w:sz w:val="28"/>
        <w:szCs w:val="28"/>
      </w:rPr>
      <w:fldChar w:fldCharType="begin"/>
    </w:r>
    <w:r>
      <w:rPr>
        <w:rStyle w:val="9"/>
        <w:rFonts w:ascii="宋体" w:hAnsi="宋体" w:eastAsia="宋体"/>
        <w:sz w:val="28"/>
        <w:szCs w:val="28"/>
      </w:rPr>
      <w:instrText xml:space="preserve">PAGE  </w:instrText>
    </w:r>
    <w:r>
      <w:rPr>
        <w:rFonts w:ascii="宋体" w:hAnsi="宋体" w:eastAsia="宋体"/>
        <w:sz w:val="28"/>
        <w:szCs w:val="28"/>
      </w:rPr>
      <w:fldChar w:fldCharType="separate"/>
    </w:r>
    <w:r>
      <w:rPr>
        <w:rStyle w:val="9"/>
        <w:rFonts w:ascii="宋体" w:hAnsi="宋体" w:eastAsia="宋体"/>
        <w:sz w:val="28"/>
        <w:szCs w:val="28"/>
      </w:rPr>
      <w:t>22</w:t>
    </w:r>
    <w:r>
      <w:rPr>
        <w:rFonts w:ascii="宋体" w:hAnsi="宋体" w:eastAsia="宋体"/>
        <w:sz w:val="28"/>
        <w:szCs w:val="28"/>
      </w:rPr>
      <w:fldChar w:fldCharType="end"/>
    </w:r>
    <w:r>
      <w:rPr>
        <w:rStyle w:val="9"/>
        <w:rFonts w:hint="eastAsia" w:ascii="宋体" w:hAnsi="宋体" w:eastAsia="宋体"/>
        <w:sz w:val="24"/>
        <w:szCs w:val="24"/>
      </w:rPr>
      <w:t xml:space="preserve"> —</w:t>
    </w:r>
  </w:p>
  <w:p>
    <w:pPr>
      <w:pStyle w:val="4"/>
      <w:ind w:right="540" w:firstLine="36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ordWrap w:val="0"/>
      <w:ind w:right="360"/>
      <w:jc w:val="right"/>
      <w:rPr>
        <w:rFonts w:ascii="宋体" w:hAnsi="宋体" w:eastAsia="宋体"/>
        <w:sz w:val="24"/>
        <w:szCs w:val="24"/>
      </w:rPr>
    </w:pPr>
    <w:r>
      <w:rPr>
        <w:rStyle w:val="9"/>
        <w:rFonts w:hint="eastAsia" w:ascii="宋体" w:hAnsi="宋体" w:eastAsia="宋体"/>
        <w:sz w:val="24"/>
        <w:szCs w:val="24"/>
      </w:rPr>
      <w:t>— 1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CF4ABF"/>
    <w:rsid w:val="000104AB"/>
    <w:rsid w:val="00010934"/>
    <w:rsid w:val="00074C9B"/>
    <w:rsid w:val="000817EC"/>
    <w:rsid w:val="000875AD"/>
    <w:rsid w:val="000A062D"/>
    <w:rsid w:val="000A105A"/>
    <w:rsid w:val="000A1855"/>
    <w:rsid w:val="000C3590"/>
    <w:rsid w:val="000D1581"/>
    <w:rsid w:val="000E1245"/>
    <w:rsid w:val="000E2B14"/>
    <w:rsid w:val="00100981"/>
    <w:rsid w:val="001117AB"/>
    <w:rsid w:val="001434CC"/>
    <w:rsid w:val="00176DC9"/>
    <w:rsid w:val="00183CEB"/>
    <w:rsid w:val="001D35E1"/>
    <w:rsid w:val="001E32EE"/>
    <w:rsid w:val="0020771F"/>
    <w:rsid w:val="00232336"/>
    <w:rsid w:val="002644DE"/>
    <w:rsid w:val="002651C0"/>
    <w:rsid w:val="0028282E"/>
    <w:rsid w:val="002A33B2"/>
    <w:rsid w:val="002A6DCD"/>
    <w:rsid w:val="002B0D88"/>
    <w:rsid w:val="002B1C77"/>
    <w:rsid w:val="002B66F1"/>
    <w:rsid w:val="002C13B9"/>
    <w:rsid w:val="002C141F"/>
    <w:rsid w:val="002D15E1"/>
    <w:rsid w:val="00304121"/>
    <w:rsid w:val="00305E41"/>
    <w:rsid w:val="003071BE"/>
    <w:rsid w:val="0032077A"/>
    <w:rsid w:val="00324AE0"/>
    <w:rsid w:val="00335100"/>
    <w:rsid w:val="00347E5D"/>
    <w:rsid w:val="0035578F"/>
    <w:rsid w:val="00361528"/>
    <w:rsid w:val="00361549"/>
    <w:rsid w:val="003806D5"/>
    <w:rsid w:val="003B4030"/>
    <w:rsid w:val="003E1771"/>
    <w:rsid w:val="003E3DBD"/>
    <w:rsid w:val="003E3ED4"/>
    <w:rsid w:val="003F5FF6"/>
    <w:rsid w:val="00404B91"/>
    <w:rsid w:val="004154AC"/>
    <w:rsid w:val="00417A5C"/>
    <w:rsid w:val="00423DA3"/>
    <w:rsid w:val="00426BAC"/>
    <w:rsid w:val="004331F3"/>
    <w:rsid w:val="00434FA5"/>
    <w:rsid w:val="00440010"/>
    <w:rsid w:val="00452782"/>
    <w:rsid w:val="00455C60"/>
    <w:rsid w:val="00487DCB"/>
    <w:rsid w:val="00505DAD"/>
    <w:rsid w:val="00533694"/>
    <w:rsid w:val="005529E1"/>
    <w:rsid w:val="00561DB9"/>
    <w:rsid w:val="00567BE0"/>
    <w:rsid w:val="00570447"/>
    <w:rsid w:val="005A2BE6"/>
    <w:rsid w:val="005B2C29"/>
    <w:rsid w:val="005F5D3F"/>
    <w:rsid w:val="00620166"/>
    <w:rsid w:val="00620917"/>
    <w:rsid w:val="006225AF"/>
    <w:rsid w:val="006B4899"/>
    <w:rsid w:val="006C631A"/>
    <w:rsid w:val="006E44C3"/>
    <w:rsid w:val="006F30A3"/>
    <w:rsid w:val="007161D8"/>
    <w:rsid w:val="00717FC0"/>
    <w:rsid w:val="00720942"/>
    <w:rsid w:val="00722019"/>
    <w:rsid w:val="00725F81"/>
    <w:rsid w:val="007300B3"/>
    <w:rsid w:val="0075410E"/>
    <w:rsid w:val="00785E24"/>
    <w:rsid w:val="00790B61"/>
    <w:rsid w:val="00792D08"/>
    <w:rsid w:val="007D6B99"/>
    <w:rsid w:val="007F192A"/>
    <w:rsid w:val="007F5611"/>
    <w:rsid w:val="00800437"/>
    <w:rsid w:val="00827C36"/>
    <w:rsid w:val="00833D14"/>
    <w:rsid w:val="00862AA3"/>
    <w:rsid w:val="00867546"/>
    <w:rsid w:val="00894BD0"/>
    <w:rsid w:val="008A1261"/>
    <w:rsid w:val="008A15A0"/>
    <w:rsid w:val="009019C4"/>
    <w:rsid w:val="00912DE6"/>
    <w:rsid w:val="00943A80"/>
    <w:rsid w:val="009504BE"/>
    <w:rsid w:val="0095485F"/>
    <w:rsid w:val="00965F4E"/>
    <w:rsid w:val="00971879"/>
    <w:rsid w:val="00972C59"/>
    <w:rsid w:val="00996688"/>
    <w:rsid w:val="009A7442"/>
    <w:rsid w:val="009B48BB"/>
    <w:rsid w:val="009D26EF"/>
    <w:rsid w:val="009E5570"/>
    <w:rsid w:val="00A00BA7"/>
    <w:rsid w:val="00A206EB"/>
    <w:rsid w:val="00A50D40"/>
    <w:rsid w:val="00A634BB"/>
    <w:rsid w:val="00AA6AF6"/>
    <w:rsid w:val="00B20F0B"/>
    <w:rsid w:val="00B41471"/>
    <w:rsid w:val="00B424B4"/>
    <w:rsid w:val="00B50160"/>
    <w:rsid w:val="00B70BF7"/>
    <w:rsid w:val="00B77EBD"/>
    <w:rsid w:val="00B82BDF"/>
    <w:rsid w:val="00B968AD"/>
    <w:rsid w:val="00BD154B"/>
    <w:rsid w:val="00BD51A7"/>
    <w:rsid w:val="00BD6EFE"/>
    <w:rsid w:val="00BE3BA1"/>
    <w:rsid w:val="00BF1F83"/>
    <w:rsid w:val="00BF4ACD"/>
    <w:rsid w:val="00C019AC"/>
    <w:rsid w:val="00C04E53"/>
    <w:rsid w:val="00C24570"/>
    <w:rsid w:val="00C56906"/>
    <w:rsid w:val="00C7599B"/>
    <w:rsid w:val="00C9420B"/>
    <w:rsid w:val="00C950BF"/>
    <w:rsid w:val="00C95A8A"/>
    <w:rsid w:val="00CE0795"/>
    <w:rsid w:val="00CE10CC"/>
    <w:rsid w:val="00CF097A"/>
    <w:rsid w:val="00CF4ABF"/>
    <w:rsid w:val="00CF5D3E"/>
    <w:rsid w:val="00CF650E"/>
    <w:rsid w:val="00D4452B"/>
    <w:rsid w:val="00D45EDF"/>
    <w:rsid w:val="00D615EF"/>
    <w:rsid w:val="00D649E2"/>
    <w:rsid w:val="00D66653"/>
    <w:rsid w:val="00D948E7"/>
    <w:rsid w:val="00DA4C28"/>
    <w:rsid w:val="00DB0CB4"/>
    <w:rsid w:val="00DB4483"/>
    <w:rsid w:val="00DB4CDF"/>
    <w:rsid w:val="00DF1F9F"/>
    <w:rsid w:val="00DF51C4"/>
    <w:rsid w:val="00DF602E"/>
    <w:rsid w:val="00E00802"/>
    <w:rsid w:val="00E04932"/>
    <w:rsid w:val="00E43765"/>
    <w:rsid w:val="00E56171"/>
    <w:rsid w:val="00E612F5"/>
    <w:rsid w:val="00E64A0A"/>
    <w:rsid w:val="00E82131"/>
    <w:rsid w:val="00E95033"/>
    <w:rsid w:val="00EC500E"/>
    <w:rsid w:val="00EC7E7F"/>
    <w:rsid w:val="00EE58AE"/>
    <w:rsid w:val="00EE719F"/>
    <w:rsid w:val="00F311EC"/>
    <w:rsid w:val="00F5413E"/>
    <w:rsid w:val="00F85736"/>
    <w:rsid w:val="00FB2B61"/>
    <w:rsid w:val="00FC23B8"/>
    <w:rsid w:val="00FE7C3B"/>
    <w:rsid w:val="3C76542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2"/>
    <w:semiHidden/>
    <w:unhideWhenUsed/>
    <w:uiPriority w:val="99"/>
    <w:pPr>
      <w:ind w:left="100" w:leftChars="2500"/>
    </w:pPr>
  </w:style>
  <w:style w:type="paragraph" w:styleId="3">
    <w:name w:val="Balloon Text"/>
    <w:basedOn w:val="1"/>
    <w:link w:val="14"/>
    <w:semiHidden/>
    <w:unhideWhenUsed/>
    <w:uiPriority w:val="99"/>
    <w:rPr>
      <w:sz w:val="18"/>
      <w:szCs w:val="18"/>
    </w:rPr>
  </w:style>
  <w:style w:type="paragraph" w:styleId="4">
    <w:name w:val="footer"/>
    <w:basedOn w:val="1"/>
    <w:link w:val="11"/>
    <w:unhideWhenUsed/>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page number"/>
    <w:basedOn w:val="8"/>
    <w:uiPriority w:val="0"/>
  </w:style>
  <w:style w:type="character" w:customStyle="1" w:styleId="10">
    <w:name w:val="页眉 Char"/>
    <w:basedOn w:val="8"/>
    <w:link w:val="5"/>
    <w:uiPriority w:val="99"/>
    <w:rPr>
      <w:sz w:val="18"/>
      <w:szCs w:val="18"/>
    </w:rPr>
  </w:style>
  <w:style w:type="character" w:customStyle="1" w:styleId="11">
    <w:name w:val="页脚 Char"/>
    <w:basedOn w:val="8"/>
    <w:link w:val="4"/>
    <w:uiPriority w:val="99"/>
    <w:rPr>
      <w:sz w:val="18"/>
      <w:szCs w:val="18"/>
    </w:rPr>
  </w:style>
  <w:style w:type="character" w:customStyle="1" w:styleId="12">
    <w:name w:val="日期 Char"/>
    <w:basedOn w:val="8"/>
    <w:link w:val="2"/>
    <w:semiHidden/>
    <w:uiPriority w:val="99"/>
  </w:style>
  <w:style w:type="paragraph" w:customStyle="1" w:styleId="13">
    <w:name w:val="Char"/>
    <w:basedOn w:val="1"/>
    <w:uiPriority w:val="0"/>
    <w:rPr>
      <w:rFonts w:ascii="Times New Roman" w:hAnsi="Times New Roman" w:eastAsia="宋体" w:cs="Times New Roman"/>
      <w:szCs w:val="24"/>
    </w:rPr>
  </w:style>
  <w:style w:type="character" w:customStyle="1" w:styleId="14">
    <w:name w:val="批注框文本 Char"/>
    <w:basedOn w:val="8"/>
    <w:link w:val="3"/>
    <w:semiHidden/>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4EF4A4D-1F07-4422-ADBB-14013F4C026B}">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4</Pages>
  <Words>252</Words>
  <Characters>1437</Characters>
  <Lines>11</Lines>
  <Paragraphs>3</Paragraphs>
  <TotalTime>329</TotalTime>
  <ScaleCrop>false</ScaleCrop>
  <LinksUpToDate>false</LinksUpToDate>
  <CharactersWithSpaces>1686</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2018-11-05T01:01:00Z</dcterms:created>
  <dc:creator>连宏鹏</dc:creator>
  <cp:lastModifiedBy>威哥</cp:lastModifiedBy>
  <cp:lastPrinted>2018-10-19T02:11:00Z</cp:lastPrinted>
  <dcterms:modified xsi:type="dcterms:W3CDTF">2021-07-13T01:56:30Z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24A4D7372C4848D5B534527DB7948506</vt:lpwstr>
  </property>
</Properties>
</file>