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28" w:type="dxa"/>
          <w:bottom w:w="0" w:type="dxa"/>
          <w:right w:w="28" w:type="dxa"/>
        </w:tblCellMar>
      </w:tblPr>
      <w:tblGrid>
        <w:gridCol w:w="8920"/>
      </w:tblGrid>
      <w:tr>
        <w:tblPrEx>
          <w:tblCellMar>
            <w:top w:w="0" w:type="dxa"/>
            <w:left w:w="28" w:type="dxa"/>
            <w:bottom w:w="0" w:type="dxa"/>
            <w:right w:w="28" w:type="dxa"/>
          </w:tblCellMar>
        </w:tblPrEx>
        <w:trPr>
          <w:trHeight w:val="357" w:hRule="exact"/>
        </w:trPr>
        <w:tc>
          <w:tcPr>
            <w:tcW w:w="8920" w:type="dxa"/>
            <w:noWrap w:val="0"/>
            <w:vAlign w:val="top"/>
          </w:tcPr>
          <w:p>
            <w:pPr>
              <w:adjustRightInd w:val="0"/>
              <w:snapToGrid w:val="0"/>
              <w:spacing w:before="100" w:beforeAutospacing="1" w:after="100" w:afterAutospacing="1"/>
              <w:ind w:right="496" w:rightChars="157"/>
              <w:textAlignment w:val="bottom"/>
              <w:rPr>
                <w:rFonts w:hint="eastAsia" w:ascii="黑体" w:hAnsi="黑体" w:eastAsia="黑体" w:cs="黑体"/>
                <w:sz w:val="32"/>
                <w:szCs w:val="36"/>
                <w:lang w:eastAsia="zh-CN"/>
              </w:rPr>
            </w:pPr>
            <w:bookmarkStart w:id="0" w:name="PO_fmj"/>
            <w:r>
              <w:rPr>
                <w:rFonts w:hint="eastAsia" w:ascii="黑体" w:hAnsi="黑体" w:eastAsia="黑体" w:cs="黑体"/>
                <w:sz w:val="32"/>
                <w:szCs w:val="36"/>
                <w:lang w:eastAsia="zh-CN"/>
              </w:rPr>
              <w:t xml:space="preserve"> </w:t>
            </w:r>
            <w:bookmarkEnd w:id="0"/>
          </w:p>
          <w:p>
            <w:pPr>
              <w:adjustRightInd w:val="0"/>
              <w:snapToGrid w:val="0"/>
              <w:spacing w:before="100" w:beforeAutospacing="1" w:after="100" w:afterAutospacing="1"/>
              <w:ind w:right="496" w:rightChars="157"/>
              <w:textAlignment w:val="bottom"/>
              <w:rPr>
                <w:rFonts w:hint="eastAsia" w:ascii="黑体" w:hAnsi="黑体" w:eastAsia="黑体" w:cs="黑体"/>
                <w:sz w:val="32"/>
                <w:szCs w:val="36"/>
              </w:rPr>
            </w:pPr>
          </w:p>
        </w:tc>
      </w:tr>
      <w:tr>
        <w:tblPrEx>
          <w:tblCellMar>
            <w:top w:w="0" w:type="dxa"/>
            <w:left w:w="28" w:type="dxa"/>
            <w:bottom w:w="0" w:type="dxa"/>
            <w:right w:w="28" w:type="dxa"/>
          </w:tblCellMar>
        </w:tblPrEx>
        <w:trPr>
          <w:trHeight w:val="1417" w:hRule="exact"/>
        </w:trPr>
        <w:tc>
          <w:tcPr>
            <w:tcW w:w="8920" w:type="dxa"/>
            <w:noWrap w:val="0"/>
            <w:vAlign w:val="center"/>
          </w:tcPr>
          <w:p>
            <w:pPr>
              <w:adjustRightInd w:val="0"/>
              <w:snapToGrid w:val="0"/>
              <w:spacing w:before="100" w:beforeAutospacing="1" w:after="100" w:afterAutospacing="1"/>
              <w:ind w:right="496" w:rightChars="157"/>
              <w:textAlignment w:val="bottom"/>
              <w:rPr>
                <w:rFonts w:eastAsia="黑体"/>
                <w:sz w:val="32"/>
                <w:szCs w:val="36"/>
              </w:rPr>
            </w:pPr>
          </w:p>
        </w:tc>
      </w:tr>
      <w:tr>
        <w:tblPrEx>
          <w:tblCellMar>
            <w:top w:w="0" w:type="dxa"/>
            <w:left w:w="28" w:type="dxa"/>
            <w:bottom w:w="0" w:type="dxa"/>
            <w:right w:w="28" w:type="dxa"/>
          </w:tblCellMar>
        </w:tblPrEx>
        <w:trPr>
          <w:trHeight w:val="1417" w:hRule="exact"/>
        </w:trPr>
        <w:tc>
          <w:tcPr>
            <w:tcW w:w="8920" w:type="dxa"/>
            <w:noWrap w:val="0"/>
            <w:vAlign w:val="center"/>
          </w:tcPr>
          <w:p>
            <w:pPr>
              <w:snapToGrid w:val="0"/>
              <w:spacing w:before="100" w:beforeAutospacing="1" w:after="100" w:afterAutospacing="1"/>
              <w:jc w:val="distribute"/>
              <w:textAlignment w:val="bottom"/>
              <w:rPr>
                <w:rFonts w:hint="eastAsia" w:ascii="方正小标宋简体" w:eastAsia="方正小标宋简体"/>
                <w:b/>
                <w:bCs/>
                <w:sz w:val="84"/>
                <w:szCs w:val="84"/>
              </w:rPr>
            </w:pPr>
            <w:bookmarkStart w:id="1" w:name="PO_fhead"/>
            <w:r>
              <w:rPr>
                <w:rFonts w:hint="eastAsia" w:ascii="方正小标宋简体" w:hAnsi="方正小标宋简体" w:eastAsia="方正小标宋简体" w:cs="方正小标宋简体"/>
                <w:b/>
                <w:bCs/>
                <w:color w:val="FF0000"/>
                <w:spacing w:val="52"/>
                <w:sz w:val="84"/>
                <w:szCs w:val="84"/>
              </w:rPr>
              <w:t>福建省财政厅文件</w:t>
            </w:r>
            <w:bookmarkEnd w:id="1"/>
          </w:p>
        </w:tc>
      </w:tr>
      <w:tr>
        <w:tblPrEx>
          <w:tblCellMar>
            <w:top w:w="0" w:type="dxa"/>
            <w:left w:w="28" w:type="dxa"/>
            <w:bottom w:w="0" w:type="dxa"/>
            <w:right w:w="28" w:type="dxa"/>
          </w:tblCellMar>
        </w:tblPrEx>
        <w:trPr>
          <w:trHeight w:val="1018" w:hRule="exact"/>
        </w:trPr>
        <w:tc>
          <w:tcPr>
            <w:tcW w:w="8920" w:type="dxa"/>
            <w:noWrap w:val="0"/>
            <w:vAlign w:val="bottom"/>
          </w:tcPr>
          <w:p>
            <w:pPr>
              <w:snapToGrid w:val="0"/>
              <w:spacing w:before="120"/>
              <w:ind w:right="339" w:firstLine="632" w:firstLineChars="200"/>
              <w:jc w:val="center"/>
              <w:textAlignment w:val="bottom"/>
              <w:rPr>
                <w:rFonts w:hint="default" w:ascii="仿宋" w:hAnsi="仿宋" w:eastAsiaTheme="minorEastAsia"/>
                <w:lang w:val="en-US" w:eastAsia="zh-CN"/>
              </w:rPr>
            </w:pPr>
            <w:bookmarkStart w:id="2" w:name="PO_fwh"/>
            <w:r>
              <w:rPr>
                <w:rFonts w:hint="eastAsia" w:ascii="仿宋" w:hAnsi="仿宋" w:eastAsia="仿宋"/>
                <w:sz w:val="32"/>
                <w:szCs w:val="36"/>
                <w:lang w:val="en-US" w:eastAsia="zh-CN"/>
              </w:rPr>
              <w:t>闽财预〔2023〕11号</w:t>
            </w:r>
            <w:bookmarkEnd w:id="2"/>
          </w:p>
        </w:tc>
      </w:tr>
      <w:tr>
        <w:tblPrEx>
          <w:tblCellMar>
            <w:top w:w="0" w:type="dxa"/>
            <w:left w:w="28" w:type="dxa"/>
            <w:bottom w:w="0" w:type="dxa"/>
            <w:right w:w="28" w:type="dxa"/>
          </w:tblCellMar>
        </w:tblPrEx>
        <w:trPr>
          <w:trHeight w:val="194" w:hRule="exact"/>
        </w:trPr>
        <w:tc>
          <w:tcPr>
            <w:tcW w:w="8920" w:type="dxa"/>
            <w:noWrap w:val="0"/>
            <w:vAlign w:val="bottom"/>
          </w:tcPr>
          <w:p>
            <w:pPr>
              <w:snapToGrid w:val="0"/>
              <w:spacing w:before="120"/>
              <w:ind w:right="339" w:firstLine="632" w:firstLineChars="200"/>
              <w:jc w:val="center"/>
              <w:textAlignment w:val="bottom"/>
              <w:rPr>
                <w:rFonts w:hint="eastAsia" w:ascii="仿宋" w:hAnsi="仿宋"/>
              </w:rPr>
            </w:pPr>
            <w:bookmarkStart w:id="3" w:name="PO_fline"/>
            <w:r>
              <w:rPr>
                <w:rFonts w:hint="eastAsia" w:ascii="仿宋" w:hAnsi="仿宋"/>
              </w:rPr>
              <w:pict>
                <v:line id="直线 5" o:spid="_x0000_s1026" o:spt="20" style="position:absolute;left:0pt;margin-left:1.3pt;margin-top:5.65pt;height:0pt;width:441.05pt;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3"/>
          </w:p>
        </w:tc>
      </w:tr>
    </w:tbl>
    <w:p>
      <w:pPr>
        <w:rPr>
          <w:rFonts w:hint="eastAsia" w:ascii="仿宋" w:hAnsi="仿宋" w:eastAsia="仿宋" w:cs="仿宋"/>
          <w:sz w:val="32"/>
          <w:szCs w:val="36"/>
        </w:rPr>
      </w:pPr>
    </w:p>
    <w:p>
      <w:pPr>
        <w:rPr>
          <w:rFonts w:hint="eastAsia" w:ascii="仿宋" w:hAnsi="仿宋" w:eastAsia="仿宋" w:cs="仿宋"/>
          <w:sz w:val="32"/>
          <w:szCs w:val="36"/>
        </w:rPr>
      </w:pPr>
    </w:p>
    <w:p>
      <w:pPr>
        <w:snapToGrid w:val="0"/>
        <w:jc w:val="center"/>
        <w:rPr>
          <w:rFonts w:hint="eastAsia" w:ascii="方正小标宋简体" w:hAnsi="仿宋" w:eastAsia="方正小标宋简体"/>
          <w:sz w:val="44"/>
          <w:szCs w:val="44"/>
          <w:lang w:eastAsia="zh-CN"/>
        </w:rPr>
      </w:pPr>
      <w:bookmarkStart w:id="4" w:name="PO_fbt"/>
      <w:r>
        <w:rPr>
          <w:rFonts w:hint="eastAsia" w:ascii="方正小标宋简体" w:hAnsi="仿宋" w:eastAsia="方正小标宋简体"/>
          <w:sz w:val="44"/>
          <w:szCs w:val="44"/>
          <w:lang w:eastAsia="zh-CN"/>
        </w:rPr>
        <w:t>福建省财政厅关于编制省级部门2024—2026年支出规划和2024年部门预算的通知</w:t>
      </w:r>
      <w:bookmarkEnd w:id="4"/>
    </w:p>
    <w:p>
      <w:pPr>
        <w:rPr>
          <w:rFonts w:hint="eastAsia" w:ascii="仿宋" w:hAnsi="仿宋" w:eastAsia="仿宋" w:cs="仿宋"/>
          <w:sz w:val="32"/>
          <w:szCs w:val="36"/>
        </w:rPr>
      </w:pPr>
    </w:p>
    <w:p>
      <w:pPr>
        <w:rPr>
          <w:rFonts w:hint="eastAsia" w:ascii="仿宋" w:hAnsi="仿宋" w:eastAsia="仿宋" w:cs="仿宋"/>
          <w:sz w:val="32"/>
          <w:szCs w:val="36"/>
        </w:rPr>
      </w:pPr>
      <w:bookmarkStart w:id="5" w:name="PO_fzs"/>
      <w:r>
        <w:rPr>
          <w:rFonts w:hint="eastAsia" w:ascii="仿宋" w:hAnsi="仿宋" w:eastAsia="仿宋" w:cs="仿宋"/>
          <w:sz w:val="32"/>
          <w:szCs w:val="36"/>
          <w:lang w:eastAsia="zh-CN"/>
        </w:rPr>
        <w:t>省级各部门（一级预算单位）</w:t>
      </w:r>
      <w:bookmarkEnd w:id="5"/>
      <w:r>
        <w:rPr>
          <w:rFonts w:hint="eastAsia" w:ascii="仿宋" w:hAnsi="仿宋" w:eastAsia="仿宋" w:cs="仿宋"/>
          <w:sz w:val="32"/>
          <w:szCs w:val="36"/>
        </w:rPr>
        <w:t>：</w:t>
      </w:r>
    </w:p>
    <w:p>
      <w:pPr>
        <w:spacing w:line="660" w:lineRule="exact"/>
        <w:ind w:firstLine="630"/>
        <w:rPr>
          <w:rFonts w:ascii="仿宋" w:hAnsi="仿宋" w:eastAsia="仿宋" w:cs="方正仿宋_GBK"/>
          <w:vertAlign w:val="superscript"/>
        </w:rPr>
      </w:pPr>
      <w:bookmarkStart w:id="6" w:name="PO_zw"/>
      <w:bookmarkEnd w:id="6"/>
      <w:r>
        <w:rPr>
          <w:rFonts w:hint="eastAsia" w:ascii="仿宋" w:hAnsi="仿宋" w:eastAsia="仿宋" w:cs="方正仿宋_GBK"/>
        </w:rPr>
        <w:t>按照《中华人民共和国预算法》及其实施条例、《国务院关于进一步深化预算管理制度改革的意见》（国发〔2021〕5号）等有关规定，现就编制省级部门</w:t>
      </w:r>
      <w:r>
        <w:rPr>
          <w:rFonts w:ascii="仿宋" w:hAnsi="仿宋" w:eastAsia="仿宋" w:cs="方正仿宋_GBK"/>
        </w:rPr>
        <w:t>202</w:t>
      </w:r>
      <w:r>
        <w:rPr>
          <w:rFonts w:hint="eastAsia" w:ascii="仿宋" w:hAnsi="仿宋" w:eastAsia="仿宋" w:cs="方正仿宋_GBK"/>
        </w:rPr>
        <w:t>4—</w:t>
      </w:r>
      <w:r>
        <w:rPr>
          <w:rFonts w:ascii="仿宋" w:hAnsi="仿宋" w:eastAsia="仿宋" w:cs="方正仿宋_GBK"/>
        </w:rPr>
        <w:t>202</w:t>
      </w:r>
      <w:r>
        <w:rPr>
          <w:rFonts w:hint="eastAsia" w:ascii="仿宋" w:hAnsi="仿宋" w:eastAsia="仿宋" w:cs="方正仿宋_GBK"/>
        </w:rPr>
        <w:t>6年支出规划和</w:t>
      </w:r>
      <w:r>
        <w:rPr>
          <w:rFonts w:ascii="仿宋" w:hAnsi="仿宋" w:eastAsia="仿宋" w:cs="方正仿宋_GBK"/>
        </w:rPr>
        <w:t>202</w:t>
      </w:r>
      <w:r>
        <w:rPr>
          <w:rFonts w:hint="eastAsia" w:ascii="仿宋" w:hAnsi="仿宋" w:eastAsia="仿宋" w:cs="方正仿宋_GBK"/>
        </w:rPr>
        <w:t>4年部门预算有关事项通知如下：</w:t>
      </w:r>
    </w:p>
    <w:p>
      <w:pPr>
        <w:spacing w:line="660" w:lineRule="exact"/>
        <w:ind w:firstLine="630"/>
        <w:rPr>
          <w:rFonts w:ascii="黑体" w:hAnsi="黑体" w:eastAsia="黑体" w:cs="方正黑体_GBK"/>
        </w:rPr>
      </w:pPr>
      <w:r>
        <w:rPr>
          <w:rFonts w:hint="eastAsia" w:ascii="黑体" w:hAnsi="黑体" w:eastAsia="黑体" w:cs="方正黑体_GBK"/>
        </w:rPr>
        <w:t>一、总体要求</w:t>
      </w:r>
    </w:p>
    <w:p>
      <w:pPr>
        <w:spacing w:line="660" w:lineRule="exact"/>
        <w:ind w:firstLine="630"/>
        <w:rPr>
          <w:rFonts w:ascii="仿宋" w:hAnsi="仿宋" w:eastAsia="仿宋" w:cs="方正仿宋_GBK"/>
        </w:rPr>
      </w:pPr>
      <w:r>
        <w:rPr>
          <w:rFonts w:hint="eastAsia" w:ascii="仿宋" w:hAnsi="仿宋" w:eastAsia="仿宋" w:cs="方正仿宋_GBK"/>
        </w:rPr>
        <w:t>以习近平新时代中国特色社会主义思想为指导，全面贯彻落实党的二十大及中央经济工作会议部署，按照省第十一次党代会、省委十一届三次全会和省委经济工作会议要求，紧扣“四个更大”重要要求，坚持稳中求进工作总基调，完整、准确、全面贯彻新发展理念，加快构建新发展格局，全方位推进高质量发展，持续优化财政支出结构，强化重大战略任务财力保障，</w:t>
      </w:r>
      <w:r>
        <w:rPr>
          <w:rFonts w:ascii="仿宋" w:hAnsi="仿宋" w:eastAsia="仿宋" w:cs="方正仿宋_GBK"/>
        </w:rPr>
        <w:t>严格落实过紧日子要求，将艰苦奋斗、勤俭节约作为预算支出安排的基本方针；加强部门收入预算管理， 强化预算资源统筹，集中财力办大事；</w:t>
      </w:r>
      <w:r>
        <w:rPr>
          <w:rFonts w:ascii="仿宋" w:hAnsi="仿宋" w:eastAsia="仿宋" w:cs="方正仿宋_GBK"/>
          <w:color w:val="0000FF"/>
        </w:rPr>
        <w:t>完善项目全生命周期管理，加快支出标准体系建设，深化预算绩效管理，加强预算评审和监管，扎实推进预算管理一体化系统应用， 推动部门预算管理规范透明、约束有力、讲求绩效。</w:t>
      </w:r>
    </w:p>
    <w:p>
      <w:pPr>
        <w:spacing w:line="660" w:lineRule="exact"/>
        <w:ind w:firstLine="630"/>
        <w:rPr>
          <w:rFonts w:ascii="黑体" w:hAnsi="黑体" w:eastAsia="黑体" w:cs="方正黑体_GBK"/>
        </w:rPr>
      </w:pPr>
      <w:r>
        <w:rPr>
          <w:rFonts w:hint="eastAsia" w:ascii="黑体" w:hAnsi="黑体" w:eastAsia="黑体" w:cs="方正黑体_GBK"/>
        </w:rPr>
        <w:t>二、重点工作</w:t>
      </w:r>
    </w:p>
    <w:p>
      <w:pPr>
        <w:spacing w:line="660" w:lineRule="exact"/>
        <w:ind w:firstLine="630"/>
        <w:rPr>
          <w:rFonts w:ascii="仿宋" w:hAnsi="仿宋" w:eastAsia="仿宋" w:cs="方正仿宋_GBK"/>
        </w:rPr>
      </w:pPr>
      <w:r>
        <w:rPr>
          <w:rFonts w:hint="eastAsia" w:ascii="楷体" w:hAnsi="楷体" w:eastAsia="楷体" w:cs="方正楷体_GBK"/>
        </w:rPr>
        <w:t>（一）强化落实重大政策的保障能力。</w:t>
      </w:r>
      <w:r>
        <w:rPr>
          <w:rFonts w:hint="eastAsia" w:ascii="仿宋" w:hAnsi="仿宋" w:eastAsia="仿宋" w:cs="方正仿宋_GBK"/>
        </w:rPr>
        <w:t>将落实党中央、国务院重大决策部署要求作为首要任务，贯彻党的路线方针政策，增强对省委、省政府重大战略任务的财力保障。围绕全方位推进高质量发展各项目标任务，坚持统筹兼顾、突出重点，加大支出结构调整力度，推进财政政策更加精准高效，优先保障省委、省政府确定的重大事项、重点项目。</w:t>
      </w:r>
      <w:r>
        <w:rPr>
          <w:rFonts w:ascii="仿宋" w:hAnsi="仿宋" w:eastAsia="仿宋" w:cs="方正仿宋_GBK"/>
        </w:rPr>
        <w:t xml:space="preserve"> </w:t>
      </w:r>
    </w:p>
    <w:p>
      <w:pPr>
        <w:spacing w:line="660" w:lineRule="exact"/>
        <w:ind w:firstLine="630"/>
        <w:rPr>
          <w:rFonts w:ascii="仿宋" w:hAnsi="仿宋" w:eastAsia="仿宋" w:cs="方正楷体_GBK"/>
        </w:rPr>
      </w:pPr>
      <w:r>
        <w:rPr>
          <w:rFonts w:hint="eastAsia" w:ascii="楷体" w:hAnsi="楷体" w:eastAsia="楷体" w:cs="方正楷体_GBK"/>
        </w:rPr>
        <w:t>（二）坚持党政机关带头过紧日子。</w:t>
      </w:r>
      <w:r>
        <w:rPr>
          <w:rFonts w:hint="eastAsia" w:ascii="仿宋" w:hAnsi="仿宋" w:eastAsia="仿宋" w:cs="方正楷体_GBK"/>
        </w:rPr>
        <w:t>牢固树立党政机关过紧日子思想，贯彻勤俭节约原则，严格执行会议差旅费等开支标准，努力降低行政运行成本。</w:t>
      </w:r>
      <w:r>
        <w:rPr>
          <w:rFonts w:ascii="仿宋" w:hAnsi="仿宋" w:eastAsia="仿宋" w:cs="方正楷体_GBK"/>
        </w:rPr>
        <w:t>严格新增资产配置管理， 严控楼堂馆所建设，积极盘活存量资产，加强资产运行维护，推进资产共享共用，防止资产闲置浪费。在落实过紧日子要求的同时，合理保障部门履职支出，保持人员队伍稳定和机构正常运转。准确完整编</w:t>
      </w:r>
      <w:r>
        <w:rPr>
          <w:rFonts w:hint="eastAsia" w:ascii="仿宋" w:hAnsi="仿宋" w:eastAsia="仿宋" w:cs="方正楷体_GBK"/>
        </w:rPr>
        <w:t>制“</w:t>
      </w:r>
      <w:r>
        <w:rPr>
          <w:rFonts w:ascii="仿宋" w:hAnsi="仿宋" w:eastAsia="仿宋" w:cs="方正楷体_GBK"/>
        </w:rPr>
        <w:t>三公”经费预算，严格</w:t>
      </w:r>
      <w:r>
        <w:rPr>
          <w:rFonts w:hint="eastAsia" w:ascii="仿宋" w:hAnsi="仿宋" w:eastAsia="仿宋" w:cs="方正楷体_GBK"/>
        </w:rPr>
        <w:t>“</w:t>
      </w:r>
      <w:r>
        <w:rPr>
          <w:rFonts w:ascii="仿宋" w:hAnsi="仿宋" w:eastAsia="仿宋" w:cs="方正楷体_GBK"/>
        </w:rPr>
        <w:t>三公”经费管理约束。</w:t>
      </w:r>
    </w:p>
    <w:p>
      <w:pPr>
        <w:spacing w:line="660" w:lineRule="exact"/>
        <w:ind w:firstLine="630"/>
        <w:rPr>
          <w:rFonts w:ascii="仿宋" w:hAnsi="仿宋" w:eastAsia="仿宋" w:cs="方正楷体_GBK"/>
        </w:rPr>
      </w:pPr>
      <w:r>
        <w:rPr>
          <w:rFonts w:hint="eastAsia" w:ascii="楷体" w:hAnsi="楷体" w:eastAsia="楷体" w:cs="方正楷体_GBK"/>
        </w:rPr>
        <w:t>（三）规范部门预算收入和存量资金管理。</w:t>
      </w:r>
      <w:r>
        <w:rPr>
          <w:rFonts w:hint="eastAsia" w:ascii="仿宋" w:hAnsi="仿宋" w:eastAsia="仿宋" w:cs="方正楷体_GBK"/>
        </w:rPr>
        <w:t>各部门按规定将取得的财政拨款、</w:t>
      </w:r>
      <w:r>
        <w:rPr>
          <w:rFonts w:ascii="仿宋" w:hAnsi="仿宋" w:eastAsia="仿宋" w:cs="方正楷体_GBK"/>
        </w:rPr>
        <w:t xml:space="preserve">事业收入、事业单位经营收入、其他收入等各类收入在部门和单位预算中反映。 </w:t>
      </w:r>
      <w:r>
        <w:rPr>
          <w:rFonts w:hint="eastAsia" w:ascii="仿宋" w:hAnsi="仿宋" w:eastAsia="仿宋" w:cs="方正楷体_GBK"/>
        </w:rPr>
        <w:t>加</w:t>
      </w:r>
      <w:r>
        <w:rPr>
          <w:rFonts w:ascii="仿宋" w:hAnsi="仿宋" w:eastAsia="仿宋" w:cs="方正楷体_GBK"/>
        </w:rPr>
        <w:t>大当年预算和结转结余资金统筹力度，对连续结转规模较大的， 应按要求减少当年预算安排。 对基本建设支出结转资金，要结合项目实施进度等情况，加快消化结转资金规模。完善结余资金收回使用机制， 各部门应及时主动清理结余资金，按规定交回财政统筹使用。</w:t>
      </w:r>
    </w:p>
    <w:p>
      <w:pPr>
        <w:spacing w:line="660" w:lineRule="exact"/>
        <w:ind w:firstLine="630"/>
        <w:rPr>
          <w:rFonts w:ascii="仿宋" w:hAnsi="仿宋" w:eastAsia="仿宋" w:cs="方正楷体_GBK"/>
          <w:color w:val="0000FF"/>
        </w:rPr>
      </w:pPr>
      <w:r>
        <w:rPr>
          <w:rFonts w:hint="eastAsia" w:ascii="楷体" w:hAnsi="楷体" w:eastAsia="楷体" w:cs="方正楷体_GBK"/>
        </w:rPr>
        <w:t>（四）健全项目全生命周期管理。</w:t>
      </w:r>
      <w:r>
        <w:rPr>
          <w:rFonts w:hint="eastAsia" w:ascii="仿宋" w:hAnsi="仿宋" w:eastAsia="仿宋" w:cs="方正楷体_GBK"/>
          <w:color w:val="0000FF"/>
        </w:rPr>
        <w:t>推进预算支出项目常态化</w:t>
      </w:r>
    </w:p>
    <w:p>
      <w:pPr>
        <w:spacing w:line="660" w:lineRule="exact"/>
        <w:ind w:firstLine="0"/>
        <w:rPr>
          <w:rFonts w:ascii="仿宋" w:hAnsi="仿宋" w:eastAsia="仿宋" w:cs="方正楷体_GBK"/>
        </w:rPr>
      </w:pPr>
      <w:r>
        <w:rPr>
          <w:rFonts w:hint="eastAsia" w:ascii="仿宋" w:hAnsi="仿宋" w:eastAsia="仿宋" w:cs="方正楷体_GBK"/>
          <w:color w:val="0000FF"/>
        </w:rPr>
        <w:t>储备，</w:t>
      </w:r>
      <w:r>
        <w:rPr>
          <w:rFonts w:ascii="仿宋" w:hAnsi="仿宋" w:eastAsia="仿宋" w:cs="方正楷体_GBK"/>
          <w:color w:val="0000FF"/>
        </w:rPr>
        <w:t>新增入库项目要有充分立项依据，</w:t>
      </w:r>
      <w:r>
        <w:rPr>
          <w:rFonts w:ascii="仿宋" w:hAnsi="仿宋" w:eastAsia="仿宋" w:cs="方正楷体_GBK"/>
        </w:rPr>
        <w:t>集中反映部门主要职责</w:t>
      </w:r>
      <w:r>
        <w:rPr>
          <w:rFonts w:hint="eastAsia" w:ascii="仿宋" w:hAnsi="仿宋" w:eastAsia="仿宋" w:cs="方正楷体_GBK"/>
        </w:rPr>
        <w:t>和工作任务，体现省级支出责任，不得在省本级项目中安排对市县的补助支出，不得将同</w:t>
      </w:r>
      <w:r>
        <w:rPr>
          <w:rFonts w:ascii="仿宋" w:hAnsi="仿宋" w:eastAsia="仿宋" w:cs="方正楷体_GBK"/>
        </w:rPr>
        <w:t>一事项拆分为多个项目。认真做好项目库维护，对实施周期内的项目实行滚动管理，实施完毕的项目应及时予以终止， 因政策调整或形势变化无需继续实施的项目应予以作废，及时做好项目清理。加强项目排序管理，分清轻重缓急，合理确定项目分年支出计划，统筹编制三年支出规划建议，强化支出规划对年度预算的约束，促进跨年度预算平衡。</w:t>
      </w:r>
    </w:p>
    <w:p>
      <w:pPr>
        <w:pStyle w:val="2"/>
        <w:spacing w:line="660" w:lineRule="exact"/>
        <w:ind w:firstLine="624" w:firstLineChars="200"/>
        <w:rPr>
          <w:rFonts w:ascii="仿宋" w:hAnsi="仿宋" w:eastAsia="仿宋" w:cs="方正仿宋_GBK"/>
          <w:spacing w:val="6"/>
          <w:szCs w:val="32"/>
        </w:rPr>
      </w:pPr>
      <w:r>
        <w:rPr>
          <w:rFonts w:hint="eastAsia" w:ascii="楷体" w:hAnsi="楷体" w:eastAsia="楷体" w:cs="方正楷体_GBK"/>
        </w:rPr>
        <w:t>（五）推进支出标准体系建设。</w:t>
      </w:r>
      <w:r>
        <w:rPr>
          <w:rFonts w:hint="eastAsia" w:ascii="仿宋" w:hAnsi="仿宋" w:eastAsia="仿宋" w:cs="方正仿宋_GBK"/>
          <w:color w:val="0000FF"/>
        </w:rPr>
        <w:t>将支出标准作为预算编制的基本依据，</w:t>
      </w:r>
      <w:r>
        <w:rPr>
          <w:rFonts w:hint="eastAsia" w:ascii="仿宋" w:hAnsi="仿宋" w:eastAsia="仿宋" w:cs="方正仿宋_GBK"/>
        </w:rPr>
        <w:t>充分发挥标准在规范预算分配中的基础性作用，合理保障机构正常运转、基本履职和重点工作需要。健全基本支出标准体系，加强基本支出定员定额管理，加快推进项目支出标准体系建设，逐步建立全面规范透明、标准科学、约束有力的支出标准体系。部门要加强内部标准建设，建立健全部门支出标准体系。</w:t>
      </w:r>
      <w:r>
        <w:rPr>
          <w:rFonts w:hint="eastAsia" w:ascii="仿宋" w:hAnsi="仿宋" w:eastAsia="仿宋" w:cs="方正仿宋_GBK"/>
          <w:color w:val="000000"/>
          <w:szCs w:val="32"/>
        </w:rPr>
        <w:t>依托一体化系统建立支出标准库，部门支出标准应在相关文件印发后</w:t>
      </w:r>
      <w:r>
        <w:rPr>
          <w:rFonts w:ascii="仿宋" w:hAnsi="仿宋" w:eastAsia="仿宋" w:cs="方正仿宋_GBK"/>
          <w:color w:val="000000"/>
          <w:szCs w:val="32"/>
        </w:rPr>
        <w:t>10日内报省财政厅备案并维护进入支出标准库，标准修订或废止的，参照新标准办理。</w:t>
      </w:r>
    </w:p>
    <w:p>
      <w:pPr>
        <w:spacing w:line="660" w:lineRule="exact"/>
        <w:ind w:firstLine="630"/>
        <w:rPr>
          <w:rFonts w:ascii="仿宋" w:hAnsi="仿宋" w:eastAsia="仿宋" w:cs="方正仿宋_GBK"/>
        </w:rPr>
      </w:pPr>
      <w:r>
        <w:rPr>
          <w:rFonts w:hint="eastAsia" w:ascii="楷体" w:hAnsi="楷体" w:eastAsia="楷体" w:cs="方正楷体_GBK"/>
        </w:rPr>
        <w:t>（六）推动预算绩效管理提质增效。</w:t>
      </w:r>
      <w:r>
        <w:rPr>
          <w:rFonts w:hint="eastAsia" w:ascii="仿宋" w:hAnsi="仿宋" w:eastAsia="仿宋" w:cs="方正楷体_GBK"/>
        </w:rPr>
        <w:t>坚持预算和绩效管理一体化，将绩效理念和方法深度融入预算编制、执行、监督全过程。按要求对新出台重大政策、项目开展事前绩效评估，重点论证立项必要性、投入经济性、绩效目标合理性、实施方案可行性及财政支出有效性等，评估结果作为申请预算的必备要件；对新设专项资金与上一执行期支持方向一致的，还需对上一期执行情况进行说明。加快推进核心绩效指标和标准体系建设，加强绩效指标入库审核。科学编制项目支出绩效目标，突出项目核心产出和效果，合理确定绩效指标值，未按要求设定绩效目标或审核未通过的，不得安排预算。进一步加强所属单位绩效目标管理，开展实质性审核，财政部门适时组织复核。在编制预算时，按要求同步设定部门整体支出绩效目标，</w:t>
      </w:r>
      <w:r>
        <w:rPr>
          <w:rFonts w:hint="eastAsia" w:ascii="仿宋" w:hAnsi="仿宋" w:eastAsia="仿宋" w:cs="方正楷体_GBK"/>
          <w:color w:val="0000FF"/>
        </w:rPr>
        <w:t>随同部门“二上”预算报送。</w:t>
      </w:r>
      <w:r>
        <w:rPr>
          <w:rFonts w:hint="eastAsia" w:ascii="仿宋" w:hAnsi="仿宋" w:eastAsia="仿宋" w:cs="方正楷体_GBK"/>
        </w:rPr>
        <w:t>加强执行中绩效监控和事中绩效评价，发现问题及时纠偏整改，确保绩效目标如期保质保量实现。提高部门评价和单位自评质量，全面客观反映绩效目标实现情况。对到期重大政策、项目上一周期执行情况开展绩效评价。加强绩效结果应用，将绩效结果与改进管理、完善政策、预算安排有机衔接。指导督促所属单位开展全过程绩效管理。持续推进绩效信息公开，扩大绩效目标、绩效评价结果公开范围</w:t>
      </w:r>
      <w:r>
        <w:rPr>
          <w:rFonts w:hint="eastAsia" w:ascii="仿宋" w:hAnsi="仿宋" w:eastAsia="仿宋" w:cs="方正仿宋_GBK"/>
        </w:rPr>
        <w:t>。</w:t>
      </w:r>
    </w:p>
    <w:p>
      <w:pPr>
        <w:spacing w:line="660" w:lineRule="exact"/>
        <w:ind w:firstLine="630"/>
        <w:rPr>
          <w:rFonts w:hint="eastAsia" w:ascii="仿宋" w:hAnsi="仿宋" w:eastAsia="仿宋" w:cs="方正仿宋_GBK"/>
        </w:rPr>
      </w:pPr>
      <w:r>
        <w:rPr>
          <w:rFonts w:hint="eastAsia" w:ascii="楷体" w:hAnsi="楷体" w:eastAsia="楷体" w:cs="方正楷体_GBK"/>
        </w:rPr>
        <w:t>（七）严肃财经纪律、硬化预算约束。</w:t>
      </w:r>
      <w:r>
        <w:rPr>
          <w:rFonts w:hint="eastAsia" w:ascii="仿宋" w:hAnsi="仿宋" w:eastAsia="仿宋" w:cs="方正仿宋_GBK"/>
        </w:rPr>
        <w:t>除省委、省政府既定事项外，部门新增支出原则上通过调整支出结构解决。确需新增设立专项资金，应按程序报省政府审批，未经批准，一律不得编入</w:t>
      </w:r>
      <w:r>
        <w:rPr>
          <w:rFonts w:ascii="仿宋" w:hAnsi="仿宋" w:eastAsia="仿宋" w:cs="方正仿宋_GBK"/>
        </w:rPr>
        <w:t>202</w:t>
      </w:r>
      <w:r>
        <w:rPr>
          <w:rFonts w:hint="eastAsia" w:ascii="仿宋" w:hAnsi="仿宋" w:eastAsia="仿宋" w:cs="方正仿宋_GBK"/>
        </w:rPr>
        <w:t>4</w:t>
      </w:r>
      <w:r>
        <w:rPr>
          <w:rFonts w:ascii="仿宋" w:hAnsi="仿宋" w:eastAsia="仿宋" w:cs="方正仿宋_GBK"/>
        </w:rPr>
        <w:t>年部门预算。落实部门和单位预算管理主体责任，部门和单位对预算完整性、规范性、真实性以及执行结果负责。严格执行财经法律法规和管理规定，坚持先有预算、后有支出，严禁无预</w:t>
      </w:r>
      <w:r>
        <w:rPr>
          <w:rFonts w:hint="eastAsia" w:ascii="仿宋" w:hAnsi="仿宋" w:eastAsia="仿宋" w:cs="方正仿宋_GBK"/>
        </w:rPr>
        <w:t>算、超预算安排支出，严禁突击花钱，及时纠正预算管理中的违法违规行为。认真落实人大预算审查监督要求，切实整改巡视、审计、财会监督等发现的问题，强化发现问题与预算安排挂钩机制，对于屡审屡犯和存在问题突出的，进一步加大惩戒力度。</w:t>
      </w:r>
      <w:r>
        <w:rPr>
          <w:rFonts w:hint="eastAsia" w:ascii="仿宋" w:hAnsi="仿宋" w:eastAsia="仿宋" w:cs="方正仿宋_GBK"/>
          <w:color w:val="0000FF"/>
        </w:rPr>
        <w:t>严格按经济分类、政府采购品目和具体采购项目编制政府采购预算，落实面向中小企业预留采购份额等政策要求。</w:t>
      </w:r>
    </w:p>
    <w:p>
      <w:pPr>
        <w:spacing w:line="660" w:lineRule="exact"/>
        <w:ind w:firstLine="630"/>
        <w:rPr>
          <w:rFonts w:ascii="仿宋" w:hAnsi="仿宋" w:eastAsia="仿宋" w:cs="方正仿宋_GBK"/>
        </w:rPr>
      </w:pPr>
      <w:r>
        <w:rPr>
          <w:rFonts w:hint="eastAsia" w:ascii="楷体" w:hAnsi="楷体" w:eastAsia="楷体" w:cs="方正仿宋_GBK"/>
        </w:rPr>
        <w:t>（八）提高预算管理信息化科学化水平。</w:t>
      </w:r>
      <w:r>
        <w:rPr>
          <w:rFonts w:hint="eastAsia" w:ascii="仿宋" w:hAnsi="仿宋" w:eastAsia="仿宋" w:cs="方正仿宋_GBK"/>
        </w:rPr>
        <w:t>各部门各单位要规</w:t>
      </w:r>
    </w:p>
    <w:p>
      <w:pPr>
        <w:spacing w:line="660" w:lineRule="exact"/>
        <w:ind w:firstLine="0"/>
        <w:rPr>
          <w:rFonts w:ascii="仿宋" w:hAnsi="仿宋" w:eastAsia="仿宋" w:cs="方正仿宋_GBK"/>
        </w:rPr>
      </w:pPr>
      <w:r>
        <w:rPr>
          <w:rFonts w:hint="eastAsia" w:ascii="仿宋" w:hAnsi="仿宋" w:eastAsia="仿宋" w:cs="方正仿宋_GBK"/>
        </w:rPr>
        <w:t>范使用预算管理一体化系统，</w:t>
      </w:r>
      <w:r>
        <w:rPr>
          <w:rFonts w:ascii="仿宋" w:hAnsi="仿宋" w:eastAsia="仿宋" w:cs="方正仿宋_GBK"/>
        </w:rPr>
        <w:t xml:space="preserve"> 严格遵守执行国家安全保密制度，加强信息定密、数据安全和用户权限管理，严禁录入高于系统密级的信息，防止不同网络交叉混用。 加强预算数据分析应用， 用</w:t>
      </w:r>
      <w:r>
        <w:rPr>
          <w:rFonts w:hint="eastAsia" w:ascii="仿宋" w:hAnsi="仿宋" w:eastAsia="仿宋" w:cs="方正仿宋_GBK"/>
        </w:rPr>
        <w:t>好预算管理一体化系统基础信息库、</w:t>
      </w:r>
      <w:r>
        <w:rPr>
          <w:rFonts w:ascii="仿宋" w:hAnsi="仿宋" w:eastAsia="仿宋" w:cs="方正仿宋_GBK"/>
        </w:rPr>
        <w:t>支出标准库、预算项目库，全面掌握预算收支、 预算执行和会计核算等信息，更好统筹部门预算资源，增强预算管理能力。</w:t>
      </w:r>
    </w:p>
    <w:p>
      <w:pPr>
        <w:spacing w:line="660" w:lineRule="exact"/>
        <w:ind w:firstLine="630"/>
        <w:rPr>
          <w:rFonts w:ascii="黑体" w:hAnsi="黑体" w:eastAsia="黑体" w:cs="方正黑体_GBK"/>
        </w:rPr>
      </w:pPr>
      <w:r>
        <w:rPr>
          <w:rFonts w:hint="eastAsia" w:ascii="黑体" w:hAnsi="黑体" w:eastAsia="黑体" w:cs="方正黑体_GBK"/>
        </w:rPr>
        <w:t>四、编制要求</w:t>
      </w:r>
    </w:p>
    <w:p>
      <w:pPr>
        <w:spacing w:line="660" w:lineRule="exact"/>
        <w:ind w:firstLine="632" w:firstLineChars="200"/>
        <w:rPr>
          <w:rFonts w:ascii="楷体" w:hAnsi="楷体" w:eastAsia="楷体" w:cs="方正楷体_GBK"/>
        </w:rPr>
      </w:pPr>
      <w:r>
        <w:rPr>
          <w:rFonts w:hint="eastAsia" w:ascii="楷体" w:hAnsi="楷体" w:eastAsia="楷体" w:cs="方正楷体_GBK"/>
        </w:rPr>
        <w:t>（一）部门三年支出规划</w:t>
      </w:r>
    </w:p>
    <w:p>
      <w:pPr>
        <w:spacing w:line="660" w:lineRule="exact"/>
        <w:ind w:firstLine="632" w:firstLineChars="200"/>
        <w:rPr>
          <w:rFonts w:ascii="仿宋" w:hAnsi="仿宋" w:eastAsia="仿宋" w:cs="方正仿宋_GBK"/>
        </w:rPr>
      </w:pPr>
      <w:r>
        <w:rPr>
          <w:rFonts w:ascii="仿宋" w:hAnsi="仿宋" w:eastAsia="仿宋" w:cs="方正仿宋_GBK"/>
        </w:rPr>
        <w:t>202</w:t>
      </w:r>
      <w:r>
        <w:rPr>
          <w:rFonts w:hint="eastAsia" w:ascii="仿宋" w:hAnsi="仿宋" w:eastAsia="仿宋" w:cs="方正仿宋_GBK"/>
        </w:rPr>
        <w:t>4</w:t>
      </w:r>
      <w:r>
        <w:rPr>
          <w:rFonts w:ascii="仿宋" w:hAnsi="仿宋" w:eastAsia="仿宋" w:cs="方正仿宋_GBK"/>
        </w:rPr>
        <w:t>—202</w:t>
      </w:r>
      <w:r>
        <w:rPr>
          <w:rFonts w:hint="eastAsia" w:ascii="仿宋" w:hAnsi="仿宋" w:eastAsia="仿宋" w:cs="方正仿宋_GBK"/>
        </w:rPr>
        <w:t>6</w:t>
      </w:r>
      <w:r>
        <w:rPr>
          <w:rFonts w:ascii="仿宋" w:hAnsi="仿宋" w:eastAsia="仿宋" w:cs="方正仿宋_GBK"/>
        </w:rPr>
        <w:t>年部门支出规划随同202</w:t>
      </w:r>
      <w:r>
        <w:rPr>
          <w:rFonts w:hint="eastAsia" w:ascii="仿宋" w:hAnsi="仿宋" w:eastAsia="仿宋" w:cs="方正仿宋_GBK"/>
        </w:rPr>
        <w:t>4</w:t>
      </w:r>
      <w:r>
        <w:rPr>
          <w:rFonts w:ascii="仿宋" w:hAnsi="仿宋" w:eastAsia="仿宋" w:cs="方正仿宋_GBK"/>
        </w:rPr>
        <w:t>年部门预算一并报送。</w:t>
      </w:r>
    </w:p>
    <w:p>
      <w:pPr>
        <w:spacing w:line="660" w:lineRule="exact"/>
        <w:ind w:firstLine="632" w:firstLineChars="200"/>
        <w:rPr>
          <w:rFonts w:ascii="仿宋" w:hAnsi="仿宋" w:eastAsia="仿宋" w:cs="方正仿宋_GBK"/>
          <w:b/>
        </w:rPr>
      </w:pPr>
      <w:r>
        <w:rPr>
          <w:rFonts w:ascii="仿宋" w:hAnsi="仿宋" w:eastAsia="仿宋" w:cs="方正仿宋_GBK"/>
          <w:b/>
        </w:rPr>
        <w:t>1.基本支出规划编制</w:t>
      </w:r>
    </w:p>
    <w:p>
      <w:pPr>
        <w:spacing w:line="660" w:lineRule="exact"/>
        <w:ind w:firstLine="632" w:firstLineChars="200"/>
        <w:rPr>
          <w:rFonts w:ascii="仿宋" w:hAnsi="仿宋" w:eastAsia="仿宋" w:cs="方正仿宋_GBK"/>
        </w:rPr>
      </w:pPr>
      <w:r>
        <w:rPr>
          <w:rFonts w:hint="eastAsia" w:ascii="仿宋" w:hAnsi="仿宋" w:eastAsia="仿宋" w:cs="方正仿宋_GBK"/>
        </w:rPr>
        <w:t>各部门编报基本支出规划，由省财政统一按</w:t>
      </w:r>
      <w:r>
        <w:rPr>
          <w:rFonts w:ascii="仿宋" w:hAnsi="仿宋" w:eastAsia="仿宋" w:cs="方正仿宋_GBK"/>
        </w:rPr>
        <w:t>202</w:t>
      </w:r>
      <w:r>
        <w:rPr>
          <w:rFonts w:hint="eastAsia" w:ascii="仿宋" w:hAnsi="仿宋" w:eastAsia="仿宋" w:cs="方正仿宋_GBK"/>
        </w:rPr>
        <w:t>4</w:t>
      </w:r>
      <w:r>
        <w:rPr>
          <w:rFonts w:ascii="仿宋" w:hAnsi="仿宋" w:eastAsia="仿宋" w:cs="方正仿宋_GBK"/>
        </w:rPr>
        <w:t>年基本支出预算数编制。</w:t>
      </w:r>
    </w:p>
    <w:p>
      <w:pPr>
        <w:spacing w:line="660" w:lineRule="exact"/>
        <w:ind w:firstLine="632" w:firstLineChars="200"/>
        <w:rPr>
          <w:rFonts w:ascii="仿宋" w:hAnsi="仿宋" w:eastAsia="仿宋" w:cs="方正仿宋_GBK"/>
          <w:b/>
        </w:rPr>
      </w:pPr>
      <w:r>
        <w:rPr>
          <w:rFonts w:ascii="仿宋" w:hAnsi="仿宋" w:eastAsia="仿宋" w:cs="方正仿宋_GBK"/>
          <w:b/>
        </w:rPr>
        <w:t>2.项目支出规划编制</w:t>
      </w:r>
    </w:p>
    <w:p>
      <w:pPr>
        <w:spacing w:line="660" w:lineRule="exact"/>
        <w:ind w:firstLine="632" w:firstLineChars="200"/>
        <w:rPr>
          <w:rFonts w:ascii="仿宋" w:hAnsi="仿宋" w:eastAsia="仿宋" w:cs="方正仿宋_GBK"/>
        </w:rPr>
      </w:pPr>
      <w:r>
        <w:rPr>
          <w:rFonts w:hint="eastAsia" w:ascii="仿宋" w:hAnsi="仿宋" w:eastAsia="仿宋" w:cs="方正仿宋_GBK"/>
        </w:rPr>
        <w:t>原则上以</w:t>
      </w:r>
      <w:r>
        <w:rPr>
          <w:rFonts w:ascii="仿宋" w:hAnsi="仿宋" w:eastAsia="仿宋" w:cs="方正仿宋_GBK"/>
        </w:rPr>
        <w:t>202</w:t>
      </w:r>
      <w:r>
        <w:rPr>
          <w:rFonts w:hint="eastAsia" w:ascii="仿宋" w:hAnsi="仿宋" w:eastAsia="仿宋" w:cs="方正仿宋_GBK"/>
        </w:rPr>
        <w:t>4</w:t>
      </w:r>
      <w:r>
        <w:rPr>
          <w:rFonts w:ascii="仿宋" w:hAnsi="仿宋" w:eastAsia="仿宋" w:cs="方正仿宋_GBK"/>
        </w:rPr>
        <w:t>年支出预算数为基准，形成202</w:t>
      </w:r>
      <w:r>
        <w:rPr>
          <w:rFonts w:hint="eastAsia" w:ascii="仿宋" w:hAnsi="仿宋" w:eastAsia="仿宋" w:cs="方正仿宋_GBK"/>
        </w:rPr>
        <w:t>4</w:t>
      </w:r>
      <w:r>
        <w:rPr>
          <w:rFonts w:ascii="仿宋" w:hAnsi="仿宋" w:eastAsia="仿宋" w:cs="方正仿宋_GBK"/>
        </w:rPr>
        <w:t>—202</w:t>
      </w:r>
      <w:r>
        <w:rPr>
          <w:rFonts w:hint="eastAsia" w:ascii="仿宋" w:hAnsi="仿宋" w:eastAsia="仿宋" w:cs="方正仿宋_GBK"/>
        </w:rPr>
        <w:t>6</w:t>
      </w:r>
      <w:r>
        <w:rPr>
          <w:rFonts w:ascii="仿宋" w:hAnsi="仿宋" w:eastAsia="仿宋" w:cs="方正仿宋_GBK"/>
        </w:rPr>
        <w:t>年三年支出总额。各部门应当在测算的支出总额内，研究提出分年度支出安排建议，并按重要程度进行排序。202</w:t>
      </w:r>
      <w:r>
        <w:rPr>
          <w:rFonts w:hint="eastAsia" w:ascii="仿宋" w:hAnsi="仿宋" w:eastAsia="仿宋" w:cs="方正仿宋_GBK"/>
        </w:rPr>
        <w:t>4</w:t>
      </w:r>
      <w:r>
        <w:rPr>
          <w:rFonts w:ascii="仿宋" w:hAnsi="仿宋" w:eastAsia="仿宋" w:cs="方正仿宋_GBK"/>
        </w:rPr>
        <w:t>年支出规划应当与202</w:t>
      </w:r>
      <w:r>
        <w:rPr>
          <w:rFonts w:hint="eastAsia" w:ascii="仿宋" w:hAnsi="仿宋" w:eastAsia="仿宋" w:cs="方正仿宋_GBK"/>
        </w:rPr>
        <w:t>4</w:t>
      </w:r>
      <w:r>
        <w:rPr>
          <w:rFonts w:ascii="仿宋" w:hAnsi="仿宋" w:eastAsia="仿宋" w:cs="方正仿宋_GBK"/>
        </w:rPr>
        <w:t>年部门预算项目支出和转移支付预算支出保持一致。对于因重大政策调整、重大改革等确需增加支出规划的，由部门申请并</w:t>
      </w:r>
      <w:r>
        <w:rPr>
          <w:rFonts w:hint="eastAsia" w:ascii="仿宋" w:hAnsi="仿宋" w:eastAsia="仿宋" w:cs="方正仿宋_GBK"/>
        </w:rPr>
        <w:t>附政策依据等相关材料，由省财政统筹考虑。</w:t>
      </w:r>
    </w:p>
    <w:p>
      <w:pPr>
        <w:spacing w:line="660" w:lineRule="exact"/>
        <w:ind w:firstLine="632" w:firstLineChars="200"/>
        <w:rPr>
          <w:rFonts w:ascii="楷体" w:hAnsi="楷体" w:eastAsia="楷体" w:cs="方正楷体_GBK"/>
        </w:rPr>
      </w:pPr>
      <w:r>
        <w:rPr>
          <w:rFonts w:hint="eastAsia" w:ascii="楷体" w:hAnsi="楷体" w:eastAsia="楷体" w:cs="方正楷体_GBK"/>
        </w:rPr>
        <w:t>（二）部门预算编制</w:t>
      </w:r>
    </w:p>
    <w:p>
      <w:pPr>
        <w:spacing w:line="660" w:lineRule="exact"/>
        <w:ind w:firstLine="632" w:firstLineChars="200"/>
        <w:rPr>
          <w:rFonts w:ascii="仿宋" w:hAnsi="仿宋" w:eastAsia="仿宋" w:cs="方正仿宋_GBK"/>
          <w:b/>
        </w:rPr>
      </w:pPr>
      <w:r>
        <w:rPr>
          <w:rFonts w:ascii="仿宋" w:hAnsi="仿宋" w:eastAsia="仿宋" w:cs="方正仿宋_GBK"/>
          <w:b/>
        </w:rPr>
        <w:t>1.基本支出预算编制</w:t>
      </w:r>
    </w:p>
    <w:p>
      <w:pPr>
        <w:spacing w:line="660" w:lineRule="exact"/>
        <w:ind w:firstLine="632" w:firstLineChars="200"/>
        <w:rPr>
          <w:rFonts w:ascii="仿宋" w:hAnsi="仿宋" w:eastAsia="仿宋" w:cs="方正仿宋_GBK"/>
        </w:rPr>
      </w:pPr>
      <w:r>
        <w:rPr>
          <w:rFonts w:ascii="仿宋" w:hAnsi="仿宋" w:eastAsia="仿宋" w:cs="方正仿宋_GBK"/>
        </w:rPr>
        <w:t>202</w:t>
      </w:r>
      <w:r>
        <w:rPr>
          <w:rFonts w:hint="eastAsia" w:ascii="仿宋" w:hAnsi="仿宋" w:eastAsia="仿宋" w:cs="方正仿宋_GBK"/>
        </w:rPr>
        <w:t>4</w:t>
      </w:r>
      <w:r>
        <w:rPr>
          <w:rFonts w:ascii="仿宋" w:hAnsi="仿宋" w:eastAsia="仿宋" w:cs="方正仿宋_GBK"/>
        </w:rPr>
        <w:t>年基本支出预算以202</w:t>
      </w:r>
      <w:r>
        <w:rPr>
          <w:rFonts w:hint="eastAsia" w:ascii="仿宋" w:hAnsi="仿宋" w:eastAsia="仿宋" w:cs="方正仿宋_GBK"/>
        </w:rPr>
        <w:t>3</w:t>
      </w:r>
      <w:r>
        <w:rPr>
          <w:rFonts w:ascii="仿宋" w:hAnsi="仿宋" w:eastAsia="仿宋" w:cs="方正仿宋_GBK"/>
        </w:rPr>
        <w:t>年7月为基期月编制。各部门要按照要求，填报202</w:t>
      </w:r>
      <w:r>
        <w:rPr>
          <w:rFonts w:hint="eastAsia" w:ascii="仿宋" w:hAnsi="仿宋" w:eastAsia="仿宋" w:cs="方正仿宋_GBK"/>
        </w:rPr>
        <w:t>4</w:t>
      </w:r>
      <w:r>
        <w:rPr>
          <w:rFonts w:ascii="仿宋" w:hAnsi="仿宋" w:eastAsia="仿宋" w:cs="方正仿宋_GBK"/>
        </w:rPr>
        <w:t>年省级部门预算录入表，其中：表中灰色不可修改数据已通过财政审核，请单位核实；可修改数据以及无数据字段，单位要根据实际情况填报，并提供警衔津贴、1998年12月1日后参加工作人员月工资(不包含已领取住房补贴满20年人员)、保健</w:t>
      </w:r>
      <w:r>
        <w:rPr>
          <w:rFonts w:hint="eastAsia" w:ascii="仿宋" w:hAnsi="仿宋" w:eastAsia="仿宋" w:cs="方正仿宋_GBK"/>
        </w:rPr>
        <w:t>对象月工资</w:t>
      </w:r>
      <w:r>
        <w:rPr>
          <w:rFonts w:ascii="仿宋" w:hAnsi="仿宋" w:eastAsia="仿宋" w:cs="方正仿宋_GBK"/>
        </w:rPr>
        <w:t>(不包含已参加基本医疗保险人员)以及机关事业单位到龄“中人”职业</w:t>
      </w:r>
      <w:r>
        <w:rPr>
          <w:rFonts w:hint="eastAsia" w:ascii="仿宋" w:hAnsi="仿宋" w:eastAsia="仿宋" w:cs="方正仿宋_GBK"/>
        </w:rPr>
        <w:t>年金台账等证明材料。</w:t>
      </w:r>
    </w:p>
    <w:p>
      <w:pPr>
        <w:spacing w:line="660" w:lineRule="exact"/>
        <w:ind w:firstLine="632" w:firstLineChars="200"/>
        <w:rPr>
          <w:rFonts w:ascii="仿宋" w:hAnsi="仿宋" w:eastAsia="仿宋" w:cs="方正仿宋_GBK"/>
          <w:b/>
        </w:rPr>
      </w:pPr>
      <w:r>
        <w:rPr>
          <w:rFonts w:ascii="仿宋" w:hAnsi="仿宋" w:eastAsia="仿宋" w:cs="方正仿宋_GBK"/>
          <w:b/>
        </w:rPr>
        <w:t>2.项目支出预算编制</w:t>
      </w:r>
    </w:p>
    <w:p>
      <w:pPr>
        <w:spacing w:line="660" w:lineRule="exact"/>
        <w:ind w:firstLine="632" w:firstLineChars="200"/>
        <w:rPr>
          <w:rFonts w:ascii="仿宋" w:hAnsi="仿宋" w:eastAsia="仿宋" w:cs="方正仿宋_GBK"/>
        </w:rPr>
      </w:pPr>
      <w:r>
        <w:rPr>
          <w:rFonts w:hint="eastAsia" w:ascii="仿宋" w:hAnsi="仿宋" w:eastAsia="仿宋" w:cs="方正仿宋_GBK"/>
        </w:rPr>
        <w:t>项目支出根据量入为出、轻重缓急、有保有压、绩效优先的原则编制。规范预算支出级次管理，项目支出按支出级次分为部门预算和转移支付预算两类，“一下”后原则上不再调整项目预算支出级次。除据实清算事项外，部门预算支出原则上全部细化到用款单位，部门管理的转移支付原则上于</w:t>
      </w:r>
      <w:r>
        <w:rPr>
          <w:rFonts w:ascii="仿宋" w:hAnsi="仿宋" w:eastAsia="仿宋" w:cs="方正仿宋_GBK"/>
        </w:rPr>
        <w:t>10月31日前按规定比例提前下达。未能及时提出资金分配方案的，各部门要按照上年该项资金分配结果和规定比例提前下达，待次年执行中再予清算。</w:t>
      </w:r>
    </w:p>
    <w:p>
      <w:pPr>
        <w:spacing w:line="660" w:lineRule="exact"/>
        <w:ind w:firstLine="632" w:firstLineChars="200"/>
        <w:rPr>
          <w:rFonts w:ascii="仿宋" w:hAnsi="仿宋" w:eastAsia="仿宋" w:cs="方正仿宋_GBK"/>
          <w:b/>
        </w:rPr>
      </w:pPr>
      <w:r>
        <w:rPr>
          <w:rFonts w:ascii="仿宋" w:hAnsi="仿宋" w:eastAsia="仿宋" w:cs="方正仿宋_GBK"/>
          <w:b/>
        </w:rPr>
        <w:t>3.预算绩效编制</w:t>
      </w:r>
    </w:p>
    <w:p>
      <w:pPr>
        <w:spacing w:line="660" w:lineRule="exact"/>
        <w:ind w:firstLine="632" w:firstLineChars="200"/>
        <w:rPr>
          <w:rFonts w:ascii="仿宋" w:hAnsi="仿宋" w:eastAsia="仿宋" w:cs="方正仿宋_GBK"/>
        </w:rPr>
      </w:pPr>
      <w:r>
        <w:rPr>
          <w:rFonts w:hint="eastAsia" w:ascii="仿宋" w:hAnsi="仿宋" w:eastAsia="仿宋" w:cs="方正仿宋_GBK"/>
        </w:rPr>
        <w:t>（</w:t>
      </w:r>
      <w:r>
        <w:rPr>
          <w:rFonts w:ascii="仿宋" w:hAnsi="仿宋" w:eastAsia="仿宋" w:cs="方正仿宋_GBK"/>
        </w:rPr>
        <w:t>1）部门业务费绩效目标。部门业务费绩效目标简化编制内容，主要反映部门“三定”职责、资金保障内容、资金使用管理、预计产出和效益等情况，填报《部门业务费绩效目标申报表》。</w:t>
      </w:r>
    </w:p>
    <w:p>
      <w:pPr>
        <w:spacing w:line="660" w:lineRule="exact"/>
        <w:ind w:firstLine="632" w:firstLineChars="200"/>
        <w:rPr>
          <w:rFonts w:ascii="仿宋" w:hAnsi="仿宋" w:eastAsia="仿宋" w:cs="方正仿宋_GBK"/>
        </w:rPr>
      </w:pPr>
      <w:r>
        <w:rPr>
          <w:rFonts w:hint="eastAsia" w:ascii="仿宋" w:hAnsi="仿宋" w:eastAsia="仿宋" w:cs="方正仿宋_GBK"/>
        </w:rPr>
        <w:t>（</w:t>
      </w:r>
      <w:r>
        <w:rPr>
          <w:rFonts w:ascii="仿宋" w:hAnsi="仿宋" w:eastAsia="仿宋" w:cs="方正仿宋_GBK"/>
        </w:rPr>
        <w:t>2）发展性支出及补贴清算类支出绩效目标。发展性支出应严格对照省委、省政府工作任务，补贴清算类支出应综合衡量政策补贴范围和标准，科学设定可量化的产出、效益和满意度等指标，并填报《项目支出绩效目标申报表》。其中：涉及多个部门拼盘的项目支出，实行整合分配的，由牵头部门负责编报绩效目标；实行各自分配的，由拼盘部门分别编报绩效目标。</w:t>
      </w:r>
    </w:p>
    <w:p>
      <w:pPr>
        <w:spacing w:line="660" w:lineRule="exact"/>
        <w:ind w:firstLine="632" w:firstLineChars="200"/>
        <w:rPr>
          <w:rFonts w:ascii="仿宋" w:hAnsi="仿宋" w:eastAsia="仿宋" w:cs="方正仿宋_GBK"/>
        </w:rPr>
      </w:pPr>
      <w:r>
        <w:rPr>
          <w:rFonts w:hint="eastAsia" w:ascii="仿宋" w:hAnsi="仿宋" w:eastAsia="仿宋" w:cs="方正仿宋_GBK"/>
        </w:rPr>
        <w:t>（</w:t>
      </w:r>
      <w:r>
        <w:rPr>
          <w:rFonts w:ascii="仿宋" w:hAnsi="仿宋" w:eastAsia="仿宋" w:cs="方正仿宋_GBK"/>
        </w:rPr>
        <w:t>3）部门整体支出绩效目标。部门应将202</w:t>
      </w:r>
      <w:r>
        <w:rPr>
          <w:rFonts w:hint="eastAsia" w:ascii="仿宋" w:hAnsi="仿宋" w:eastAsia="仿宋" w:cs="方正仿宋_GBK"/>
        </w:rPr>
        <w:t>4</w:t>
      </w:r>
      <w:r>
        <w:rPr>
          <w:rFonts w:ascii="仿宋" w:hAnsi="仿宋" w:eastAsia="仿宋" w:cs="方正仿宋_GBK"/>
        </w:rPr>
        <w:t>年全部收支纳入绩效管理，依据本部门职能、整体战略规划和年度工作计划，编报部门整体绩效目标，重点衡量考核部门整体履职及核心业务实施总体效果，作为整体支出绩效监控、自评的依据。</w:t>
      </w:r>
    </w:p>
    <w:p>
      <w:pPr>
        <w:spacing w:line="660" w:lineRule="exact"/>
        <w:ind w:firstLine="632" w:firstLineChars="200"/>
        <w:rPr>
          <w:rFonts w:ascii="仿宋" w:hAnsi="仿宋" w:eastAsia="仿宋" w:cs="方正仿宋_GBK"/>
        </w:rPr>
      </w:pPr>
      <w:r>
        <w:rPr>
          <w:rFonts w:hint="eastAsia" w:ascii="仿宋" w:hAnsi="仿宋" w:eastAsia="仿宋" w:cs="方正仿宋_GBK"/>
        </w:rPr>
        <w:t>根据要求，今年部门预算绩效目标同步在预算管理一体化系统上编制，为确保预算绩效编制工作顺利进行，请做好绩效目标数据备份工作。</w:t>
      </w:r>
    </w:p>
    <w:p>
      <w:pPr>
        <w:spacing w:line="660" w:lineRule="exact"/>
        <w:ind w:firstLine="632" w:firstLineChars="200"/>
        <w:rPr>
          <w:rFonts w:ascii="仿宋" w:hAnsi="仿宋" w:eastAsia="仿宋" w:cs="方正仿宋_GBK"/>
          <w:b/>
          <w:color w:val="0000FF"/>
        </w:rPr>
      </w:pPr>
      <w:r>
        <w:rPr>
          <w:rFonts w:ascii="仿宋" w:hAnsi="仿宋" w:eastAsia="仿宋" w:cs="方正仿宋_GBK"/>
          <w:b/>
          <w:color w:val="0000FF"/>
        </w:rPr>
        <w:t>4.资产购置预算编制</w:t>
      </w:r>
    </w:p>
    <w:p>
      <w:pPr>
        <w:spacing w:line="660" w:lineRule="exact"/>
        <w:ind w:firstLine="632" w:firstLineChars="200"/>
        <w:rPr>
          <w:rFonts w:ascii="仿宋" w:hAnsi="仿宋" w:eastAsia="仿宋" w:cs="方正仿宋_GBK"/>
          <w:color w:val="0000FF"/>
        </w:rPr>
      </w:pPr>
      <w:r>
        <w:rPr>
          <w:rFonts w:hint="eastAsia" w:ascii="仿宋" w:hAnsi="仿宋" w:eastAsia="仿宋" w:cs="方正仿宋_GBK"/>
          <w:color w:val="0000FF"/>
          <w:kern w:val="0"/>
          <w:lang w:val="zh-CN"/>
        </w:rPr>
        <w:t>严格按照《行政事业性国有资产管理条例》《福建省省级行政事业单位通用办公设备和办公家具购置费预算标准管理暂行规定》等要求，根据单位履行职能和事业发展需要，结合单位资产存量状况、资产配置标准编制资产购置预算。对无配置标准的资产，按照过紧日子要求从严控制。</w:t>
      </w:r>
    </w:p>
    <w:p>
      <w:pPr>
        <w:spacing w:line="660" w:lineRule="exact"/>
        <w:ind w:firstLine="632" w:firstLineChars="200"/>
        <w:rPr>
          <w:rFonts w:ascii="仿宋" w:hAnsi="仿宋" w:eastAsia="仿宋" w:cs="方正仿宋_GBK"/>
          <w:b/>
          <w:color w:val="0000FF"/>
        </w:rPr>
      </w:pPr>
      <w:r>
        <w:rPr>
          <w:rFonts w:ascii="仿宋" w:hAnsi="仿宋" w:eastAsia="仿宋" w:cs="方正仿宋_GBK"/>
          <w:b/>
          <w:color w:val="0000FF"/>
        </w:rPr>
        <w:t>5.政府采购预算编制</w:t>
      </w:r>
    </w:p>
    <w:p>
      <w:pPr>
        <w:spacing w:line="660" w:lineRule="exact"/>
        <w:ind w:firstLine="632" w:firstLineChars="200"/>
        <w:rPr>
          <w:rFonts w:ascii="仿宋" w:hAnsi="仿宋" w:eastAsia="仿宋" w:cs="方正仿宋_GBK"/>
        </w:rPr>
      </w:pPr>
      <w:r>
        <w:rPr>
          <w:rFonts w:hint="eastAsia" w:ascii="仿宋" w:hAnsi="仿宋" w:eastAsia="仿宋" w:cs="方正仿宋_GBK"/>
        </w:rPr>
        <w:t>严格执行省级政府采购预算管理要求，按照财政部《关于印发&lt;政府采购品目分类目录&gt;的通知》（财库〔</w:t>
      </w:r>
      <w:r>
        <w:rPr>
          <w:rFonts w:ascii="仿宋" w:hAnsi="仿宋" w:eastAsia="仿宋" w:cs="方正仿宋_GBK"/>
        </w:rPr>
        <w:t>20</w:t>
      </w:r>
      <w:r>
        <w:rPr>
          <w:rFonts w:hint="eastAsia" w:ascii="仿宋" w:hAnsi="仿宋" w:eastAsia="仿宋" w:cs="方正仿宋_GBK"/>
        </w:rPr>
        <w:t>22</w:t>
      </w:r>
      <w:r>
        <w:rPr>
          <w:rFonts w:ascii="仿宋" w:hAnsi="仿宋" w:eastAsia="仿宋" w:cs="方正仿宋_GBK"/>
        </w:rPr>
        <w:t>〕</w:t>
      </w:r>
      <w:r>
        <w:rPr>
          <w:rFonts w:hint="eastAsia" w:ascii="仿宋" w:hAnsi="仿宋" w:eastAsia="仿宋" w:cs="方正仿宋_GBK"/>
        </w:rPr>
        <w:t>31</w:t>
      </w:r>
      <w:r>
        <w:rPr>
          <w:rFonts w:ascii="仿宋" w:hAnsi="仿宋" w:eastAsia="仿宋" w:cs="方正仿宋_GBK"/>
        </w:rPr>
        <w:t>号）准确认定采购项目品目，依据《福建省财政厅关于印发福建省政府集中采购目录及限额标准的通知》（</w:t>
      </w:r>
      <w:r>
        <w:rPr>
          <w:rFonts w:hint="eastAsia" w:ascii="仿宋" w:hAnsi="仿宋" w:eastAsia="仿宋" w:cs="方正仿宋_GBK"/>
        </w:rPr>
        <w:t>闽财购函〔</w:t>
      </w:r>
      <w:r>
        <w:rPr>
          <w:rFonts w:ascii="仿宋" w:hAnsi="仿宋" w:eastAsia="仿宋" w:cs="方正仿宋_GBK"/>
        </w:rPr>
        <w:t>2021〕2号），结合采购项目具体情况，准确认定采购项目是否属于政府采购项目。</w:t>
      </w:r>
      <w:r>
        <w:rPr>
          <w:rFonts w:ascii="仿宋" w:hAnsi="仿宋" w:eastAsia="仿宋" w:cs="方正仿宋_GBK"/>
          <w:color w:val="0000FF"/>
        </w:rPr>
        <w:t>凡使用财政性资金采购省级政府集中采购目录以内或者采购限额标准以上的货物、工程和服务的，均应编制政府采购预算</w:t>
      </w:r>
      <w:r>
        <w:rPr>
          <w:rFonts w:hint="eastAsia" w:ascii="仿宋" w:hAnsi="仿宋" w:eastAsia="仿宋" w:cs="方正仿宋_GBK"/>
          <w:color w:val="0000FF"/>
        </w:rPr>
        <w:t>,并做好绩效跟踪管理</w:t>
      </w:r>
      <w:r>
        <w:rPr>
          <w:rFonts w:ascii="仿宋" w:hAnsi="仿宋" w:eastAsia="仿宋" w:cs="方正仿宋_GBK"/>
          <w:color w:val="0000FF"/>
        </w:rPr>
        <w:t>。因特殊情形年初未能编制采购预算或因年中追加采购预算资金的，应按照相关规定办理采购预算追加。</w:t>
      </w:r>
      <w:r>
        <w:rPr>
          <w:rFonts w:ascii="仿宋" w:hAnsi="仿宋" w:eastAsia="仿宋" w:cs="方正仿宋_GBK"/>
        </w:rPr>
        <w:t>年初采购预算未批复之前，因特殊情况急需采购的，</w:t>
      </w:r>
      <w:r>
        <w:rPr>
          <w:rFonts w:ascii="仿宋" w:hAnsi="仿宋" w:eastAsia="仿宋" w:cs="方正仿宋_GBK"/>
          <w:color w:val="0000FF"/>
        </w:rPr>
        <w:t>采购单位可依据部门预算“二上”中的政府采购预算，提前执行采购预算和采购计划。</w:t>
      </w:r>
      <w:r>
        <w:rPr>
          <w:rFonts w:ascii="仿宋" w:hAnsi="仿宋" w:eastAsia="仿宋" w:cs="方正仿宋_GBK"/>
        </w:rPr>
        <w:t>切实加快政府采购预算的执行进度，减少政府采购财政性资金结转结余。</w:t>
      </w:r>
      <w:r>
        <w:rPr>
          <w:rFonts w:ascii="仿宋" w:hAnsi="仿宋" w:eastAsia="仿宋" w:cs="方正仿宋_GBK"/>
          <w:color w:val="0000FF"/>
        </w:rPr>
        <w:t>未严格落实对中小企业预算预留比例要求的，政府采购预算不予批复。</w:t>
      </w:r>
    </w:p>
    <w:p>
      <w:pPr>
        <w:spacing w:line="660" w:lineRule="exact"/>
        <w:ind w:firstLine="790" w:firstLineChars="250"/>
        <w:rPr>
          <w:rFonts w:ascii="仿宋" w:hAnsi="仿宋" w:eastAsia="仿宋" w:cs="方正仿宋_GBK"/>
          <w:b/>
        </w:rPr>
      </w:pPr>
      <w:r>
        <w:rPr>
          <w:rFonts w:ascii="仿宋" w:hAnsi="仿宋" w:eastAsia="仿宋" w:cs="方正仿宋_GBK"/>
          <w:b/>
        </w:rPr>
        <w:t>6.政府购买服务项目预算编制</w:t>
      </w:r>
    </w:p>
    <w:p>
      <w:pPr>
        <w:spacing w:line="660" w:lineRule="exact"/>
        <w:ind w:firstLine="630"/>
        <w:rPr>
          <w:rFonts w:ascii="仿宋" w:hAnsi="仿宋" w:eastAsia="仿宋" w:cs="方正仿宋_GBK"/>
        </w:rPr>
      </w:pPr>
      <w:r>
        <w:rPr>
          <w:rFonts w:hint="eastAsia" w:ascii="仿宋" w:hAnsi="仿宋" w:eastAsia="仿宋" w:cs="方正仿宋_GBK"/>
        </w:rPr>
        <w:t>严格按照</w:t>
      </w:r>
      <w:r>
        <w:rPr>
          <w:rFonts w:ascii="仿宋" w:hAnsi="仿宋" w:eastAsia="仿宋" w:cs="方正仿宋_GBK"/>
        </w:rPr>
        <w:t>《政府购买服务管理办法》</w:t>
      </w:r>
      <w:r>
        <w:rPr>
          <w:rFonts w:hint="eastAsia" w:ascii="仿宋" w:hAnsi="仿宋" w:eastAsia="仿宋" w:cs="方正仿宋_GBK"/>
        </w:rPr>
        <w:t>(财政部第</w:t>
      </w:r>
      <w:r>
        <w:rPr>
          <w:rFonts w:ascii="仿宋" w:hAnsi="仿宋" w:eastAsia="仿宋" w:cs="方正仿宋_GBK"/>
        </w:rPr>
        <w:t>102号令</w:t>
      </w:r>
      <w:r>
        <w:rPr>
          <w:rFonts w:hint="eastAsia" w:ascii="仿宋" w:hAnsi="仿宋" w:eastAsia="仿宋" w:cs="方正仿宋_GBK"/>
        </w:rPr>
        <w:t>)</w:t>
      </w:r>
      <w:r>
        <w:rPr>
          <w:rFonts w:ascii="仿宋" w:hAnsi="仿宋" w:eastAsia="仿宋" w:cs="方正仿宋_GBK"/>
        </w:rPr>
        <w:t>和《福建省财政厅关于进一步做好政府购买服务有关工作的通知》（闽财综〔2021〕3号）等文件要求，规范实施政府购买服务。坚持“先预算后购买”“无预算不购买”原则，所需资金从部门预算资金中统筹安排，不得将政府购买服务预算直接编列为承接主体的专项经费，未列入预算的项目不得实施。禁止将应该由政府自身直接履职的事项采取购买服务方式实施。强化政府购买服务履约管理，依法依规订立政府购买服务合同</w:t>
      </w:r>
      <w:r>
        <w:rPr>
          <w:rFonts w:hint="eastAsia" w:ascii="仿宋" w:hAnsi="仿宋" w:eastAsia="仿宋" w:cs="方正仿宋_GBK"/>
        </w:rPr>
        <w:t>,合理设置绩效目标，并做好绩效跟踪管理</w:t>
      </w:r>
      <w:r>
        <w:rPr>
          <w:rFonts w:ascii="仿宋" w:hAnsi="仿宋" w:eastAsia="仿宋" w:cs="方正仿宋_GBK"/>
        </w:rPr>
        <w:t>。禁止借政府购买服务名义变相用工。禁止在政府购买服务过程中增加</w:t>
      </w:r>
      <w:r>
        <w:rPr>
          <w:rFonts w:hint="eastAsia" w:ascii="仿宋" w:hAnsi="仿宋" w:eastAsia="仿宋" w:cs="方正仿宋_GBK"/>
        </w:rPr>
        <w:t>政府债务。</w:t>
      </w:r>
    </w:p>
    <w:p>
      <w:pPr>
        <w:spacing w:line="660" w:lineRule="exact"/>
        <w:ind w:firstLine="630"/>
        <w:rPr>
          <w:rFonts w:ascii="仿宋" w:hAnsi="仿宋" w:eastAsia="仿宋" w:cs="方正仿宋_GBK"/>
          <w:b/>
        </w:rPr>
      </w:pPr>
      <w:r>
        <w:rPr>
          <w:rFonts w:ascii="仿宋" w:hAnsi="仿宋" w:eastAsia="仿宋" w:cs="方正仿宋_GBK"/>
          <w:b/>
        </w:rPr>
        <w:t>7.国有资本经营预算编制</w:t>
      </w:r>
    </w:p>
    <w:p>
      <w:pPr>
        <w:spacing w:line="660" w:lineRule="exact"/>
        <w:ind w:firstLine="630"/>
        <w:rPr>
          <w:rFonts w:ascii="仿宋" w:hAnsi="仿宋" w:eastAsia="仿宋" w:cs="方正仿宋_GBK"/>
        </w:rPr>
      </w:pPr>
      <w:r>
        <w:rPr>
          <w:rFonts w:hint="eastAsia" w:ascii="仿宋" w:hAnsi="仿宋" w:eastAsia="仿宋" w:cs="方正仿宋_GBK"/>
        </w:rPr>
        <w:t>省级行政事业单位要将所办企业纳入国有资本经营预算编制范围，合理设置绩效目标，做好绩效跟踪管理。（不含省属金融企业）。</w:t>
      </w:r>
    </w:p>
    <w:p>
      <w:pPr>
        <w:spacing w:line="660" w:lineRule="exact"/>
        <w:ind w:firstLine="630"/>
        <w:rPr>
          <w:rFonts w:ascii="仿宋" w:hAnsi="仿宋" w:eastAsia="仿宋" w:cs="方正仿宋_GBK"/>
        </w:rPr>
      </w:pPr>
      <w:r>
        <w:rPr>
          <w:rFonts w:hint="eastAsia" w:ascii="仿宋" w:hAnsi="仿宋" w:eastAsia="仿宋" w:cs="方正仿宋_GBK"/>
        </w:rPr>
        <w:t>收入预算按照各一级企业上年度可分配利润的30%缴入国有资本经营预算，上年度无可分配利润的，按零收入编制，并予以说明。支出预算应统筹考虑国有企业改革发展、解决国有企业历史遗留问题、省委省政府确定的企业重大事项等工作要求，具体由省级各部门提出收支安排计划；向一般公共预算调出资金按30%比例编制，统筹安排用于保障和改善民生。</w:t>
      </w:r>
    </w:p>
    <w:p>
      <w:pPr>
        <w:spacing w:line="660" w:lineRule="exact"/>
        <w:ind w:firstLine="630"/>
        <w:rPr>
          <w:rFonts w:ascii="黑体" w:hAnsi="黑体" w:eastAsia="黑体" w:cs="方正黑体_GBK"/>
        </w:rPr>
      </w:pPr>
      <w:r>
        <w:rPr>
          <w:rFonts w:hint="eastAsia" w:ascii="黑体" w:hAnsi="黑体" w:eastAsia="黑体" w:cs="方正黑体_GBK"/>
        </w:rPr>
        <w:t>五、时间要求</w:t>
      </w:r>
    </w:p>
    <w:p>
      <w:pPr>
        <w:pStyle w:val="2"/>
        <w:spacing w:line="660" w:lineRule="exact"/>
        <w:ind w:firstLine="624" w:firstLineChars="200"/>
        <w:rPr>
          <w:rFonts w:ascii="仿宋" w:hAnsi="仿宋" w:eastAsia="仿宋" w:cs="方正仿宋_GBK"/>
          <w:szCs w:val="32"/>
        </w:rPr>
      </w:pPr>
      <w:r>
        <w:rPr>
          <w:rFonts w:hint="eastAsia" w:ascii="仿宋" w:hAnsi="仿宋" w:eastAsia="仿宋" w:cs="方正仿宋_GBK"/>
          <w:szCs w:val="32"/>
        </w:rPr>
        <w:t>（一）</w:t>
      </w:r>
      <w:r>
        <w:rPr>
          <w:rFonts w:ascii="仿宋" w:hAnsi="仿宋" w:eastAsia="仿宋" w:cs="方正仿宋_GBK"/>
          <w:spacing w:val="6"/>
          <w:szCs w:val="32"/>
        </w:rPr>
        <w:t>202</w:t>
      </w:r>
      <w:r>
        <w:rPr>
          <w:rFonts w:hint="eastAsia" w:ascii="仿宋" w:hAnsi="仿宋" w:eastAsia="仿宋" w:cs="方正仿宋_GBK"/>
          <w:spacing w:val="6"/>
          <w:szCs w:val="32"/>
        </w:rPr>
        <w:t>3</w:t>
      </w:r>
      <w:r>
        <w:rPr>
          <w:rFonts w:hint="eastAsia" w:ascii="仿宋" w:hAnsi="仿宋" w:eastAsia="仿宋" w:cs="方正仿宋_GBK"/>
          <w:szCs w:val="32"/>
        </w:rPr>
        <w:t>年</w:t>
      </w:r>
      <w:r>
        <w:rPr>
          <w:rFonts w:ascii="仿宋" w:hAnsi="仿宋" w:eastAsia="仿宋" w:cs="方正仿宋_GBK"/>
          <w:szCs w:val="32"/>
        </w:rPr>
        <w:t>8月1日前，省级部门通过一体化系统完成项目</w:t>
      </w:r>
      <w:r>
        <w:rPr>
          <w:rFonts w:hint="eastAsia" w:ascii="仿宋" w:hAnsi="仿宋" w:eastAsia="仿宋" w:cs="方正仿宋_GBK"/>
          <w:szCs w:val="32"/>
        </w:rPr>
        <w:t>库信息录入。</w:t>
      </w:r>
    </w:p>
    <w:p>
      <w:pPr>
        <w:ind w:firstLine="632" w:firstLineChars="200"/>
        <w:rPr>
          <w:rFonts w:hint="eastAsia" w:ascii="仿宋" w:hAnsi="仿宋" w:eastAsia="仿宋" w:cs="仿宋"/>
          <w:sz w:val="32"/>
          <w:szCs w:val="32"/>
        </w:rPr>
      </w:pPr>
      <w:r>
        <w:rPr>
          <w:rFonts w:hint="eastAsia" w:ascii="仿宋" w:hAnsi="仿宋" w:eastAsia="仿宋" w:cs="方正仿宋_GBK"/>
          <w:szCs w:val="32"/>
        </w:rPr>
        <w:t>（二）</w:t>
      </w:r>
      <w:r>
        <w:rPr>
          <w:rFonts w:ascii="仿宋" w:hAnsi="仿宋" w:eastAsia="仿宋" w:cs="方正仿宋_GBK"/>
          <w:spacing w:val="6"/>
          <w:szCs w:val="32"/>
        </w:rPr>
        <w:t>202</w:t>
      </w:r>
      <w:r>
        <w:rPr>
          <w:rFonts w:hint="eastAsia" w:ascii="仿宋" w:hAnsi="仿宋" w:eastAsia="仿宋" w:cs="方正仿宋_GBK"/>
          <w:spacing w:val="6"/>
          <w:szCs w:val="32"/>
        </w:rPr>
        <w:t>3</w:t>
      </w:r>
      <w:r>
        <w:rPr>
          <w:rFonts w:hint="eastAsia" w:ascii="仿宋" w:hAnsi="仿宋" w:eastAsia="仿宋" w:cs="方正仿宋_GBK"/>
          <w:szCs w:val="32"/>
        </w:rPr>
        <w:t>年</w:t>
      </w:r>
      <w:r>
        <w:rPr>
          <w:rFonts w:ascii="仿宋" w:hAnsi="仿宋" w:eastAsia="仿宋" w:cs="方正仿宋_GBK"/>
          <w:szCs w:val="32"/>
        </w:rPr>
        <w:t>8月31日前，省级部门将部门三年支出规划建议数和2023年部门预算建议数等材料，按照附件格式报省财政厅。</w:t>
      </w:r>
    </w:p>
    <w:p>
      <w:pPr>
        <w:pStyle w:val="2"/>
        <w:spacing w:line="660" w:lineRule="exact"/>
        <w:ind w:firstLine="624" w:firstLineChars="200"/>
        <w:rPr>
          <w:rFonts w:ascii="仿宋" w:hAnsi="仿宋" w:eastAsia="仿宋" w:cs="方正仿宋_GBK"/>
          <w:szCs w:val="32"/>
        </w:rPr>
      </w:pPr>
    </w:p>
    <w:p>
      <w:pPr>
        <w:spacing w:line="660" w:lineRule="exact"/>
        <w:ind w:left="1896" w:leftChars="200" w:hanging="1264" w:hangingChars="400"/>
        <w:rPr>
          <w:rFonts w:ascii="仿宋" w:hAnsi="仿宋" w:eastAsia="仿宋" w:cs="方正仿宋_GBK"/>
        </w:rPr>
      </w:pPr>
      <w:r>
        <w:rPr>
          <w:rFonts w:hint="eastAsia" w:ascii="仿宋" w:hAnsi="仿宋" w:eastAsia="仿宋" w:cs="方正仿宋_GBK"/>
        </w:rPr>
        <w:t>附件：</w:t>
      </w:r>
      <w:r>
        <w:rPr>
          <w:rFonts w:ascii="仿宋" w:hAnsi="仿宋" w:eastAsia="仿宋" w:cs="方正仿宋_GBK"/>
        </w:rPr>
        <w:t>1. 202</w:t>
      </w:r>
      <w:r>
        <w:rPr>
          <w:rFonts w:hint="eastAsia" w:ascii="仿宋" w:hAnsi="仿宋" w:eastAsia="仿宋" w:cs="方正仿宋_GBK"/>
        </w:rPr>
        <w:t>4—</w:t>
      </w:r>
      <w:r>
        <w:rPr>
          <w:rFonts w:ascii="仿宋" w:hAnsi="仿宋" w:eastAsia="仿宋" w:cs="方正仿宋_GBK"/>
        </w:rPr>
        <w:t>202</w:t>
      </w:r>
      <w:r>
        <w:rPr>
          <w:rFonts w:hint="eastAsia" w:ascii="仿宋" w:hAnsi="仿宋" w:eastAsia="仿宋" w:cs="方正仿宋_GBK"/>
        </w:rPr>
        <w:t>6年部门支出规划录入表</w:t>
      </w:r>
    </w:p>
    <w:p>
      <w:pPr>
        <w:spacing w:line="660" w:lineRule="exact"/>
        <w:ind w:firstLine="696" w:firstLineChars="220"/>
        <w:rPr>
          <w:rFonts w:ascii="仿宋" w:hAnsi="仿宋" w:eastAsia="仿宋" w:cs="方正仿宋_GBK"/>
        </w:rPr>
      </w:pPr>
      <w:r>
        <w:rPr>
          <w:rFonts w:ascii="仿宋" w:hAnsi="仿宋" w:eastAsia="仿宋" w:cs="方正仿宋_GBK"/>
        </w:rPr>
        <w:t xml:space="preserve">      2. 202</w:t>
      </w:r>
      <w:r>
        <w:rPr>
          <w:rFonts w:hint="eastAsia" w:ascii="仿宋" w:hAnsi="仿宋" w:eastAsia="仿宋" w:cs="方正仿宋_GBK"/>
        </w:rPr>
        <w:t>4年省级部门预算录入表</w:t>
      </w:r>
    </w:p>
    <w:p>
      <w:pPr>
        <w:spacing w:line="660" w:lineRule="exact"/>
        <w:ind w:firstLine="696" w:firstLineChars="220"/>
        <w:rPr>
          <w:rFonts w:ascii="仿宋" w:hAnsi="仿宋" w:eastAsia="仿宋"/>
        </w:rPr>
      </w:pPr>
      <w:r>
        <w:rPr>
          <w:rFonts w:ascii="仿宋" w:hAnsi="仿宋" w:eastAsia="仿宋" w:cs="方正仿宋_GBK"/>
        </w:rPr>
        <w:t xml:space="preserve">      3. 202</w:t>
      </w:r>
      <w:r>
        <w:rPr>
          <w:rFonts w:hint="eastAsia" w:ascii="仿宋" w:hAnsi="仿宋" w:eastAsia="仿宋" w:cs="方正仿宋_GBK"/>
        </w:rPr>
        <w:t>4年省级部门预算录入表填报说明</w:t>
      </w:r>
      <w:bookmarkStart w:id="14" w:name="_GoBack"/>
      <w:bookmarkEnd w:id="14"/>
    </w:p>
    <w:p>
      <w:pPr>
        <w:rPr>
          <w:rFonts w:hint="eastAsia" w:ascii="仿宋" w:hAnsi="仿宋" w:eastAsia="仿宋"/>
          <w:color w:val="000000"/>
          <w:sz w:val="32"/>
          <w:szCs w:val="32"/>
          <w:lang w:eastAsia="zh-CN"/>
        </w:rPr>
      </w:pPr>
    </w:p>
    <w:p>
      <w:pPr>
        <w:rPr>
          <w:rFonts w:hint="eastAsia" w:ascii="仿宋" w:hAnsi="仿宋" w:eastAsia="仿宋" w:cs="仿宋"/>
          <w:color w:val="000000"/>
          <w:sz w:val="32"/>
          <w:szCs w:val="32"/>
        </w:rPr>
      </w:pPr>
      <w:bookmarkStart w:id="7" w:name="PO_ffj"/>
      <w:bookmarkEnd w:id="7"/>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noWrap w:val="0"/>
            <w:vAlign w:val="top"/>
          </w:tcPr>
          <w:p>
            <w:pPr>
              <w:tabs>
                <w:tab w:val="left" w:pos="7305"/>
              </w:tabs>
              <w:wordWrap w:val="0"/>
              <w:ind w:right="482"/>
              <w:rPr>
                <w:rFonts w:hint="eastAsia" w:ascii="仿宋" w:hAnsi="仿宋" w:eastAsia="仿宋" w:cs="仿宋"/>
                <w:color w:val="000000"/>
                <w:sz w:val="32"/>
                <w:szCs w:val="32"/>
              </w:rPr>
            </w:pPr>
            <w:bookmarkStart w:id="8" w:name="PO_fyz"/>
            <w:bookmarkEnd w:id="8"/>
          </w:p>
          <w:p>
            <w:pPr>
              <w:tabs>
                <w:tab w:val="left" w:pos="7305"/>
              </w:tabs>
              <w:wordWrap w:val="0"/>
              <w:ind w:right="482"/>
              <w:rPr>
                <w:rFonts w:hint="eastAsia" w:ascii="仿宋" w:hAnsi="仿宋" w:eastAsia="仿宋" w:cs="仿宋"/>
                <w:color w:val="000000"/>
                <w:sz w:val="32"/>
                <w:szCs w:val="32"/>
              </w:rPr>
            </w:pPr>
          </w:p>
          <w:p>
            <w:pPr>
              <w:tabs>
                <w:tab w:val="left" w:pos="8820"/>
              </w:tabs>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bookmarkStart w:id="9" w:name="PO_fsm1"/>
            <w:r>
              <w:rPr>
                <w:rFonts w:hint="eastAsia" w:ascii="仿宋" w:hAnsi="仿宋" w:eastAsia="仿宋" w:cs="仿宋"/>
                <w:color w:val="000000"/>
                <w:sz w:val="32"/>
                <w:szCs w:val="32"/>
                <w:lang w:eastAsia="zh-CN"/>
              </w:rPr>
              <w:t>福建省财政厅</w:t>
            </w:r>
            <w:bookmarkEnd w:id="9"/>
            <w:r>
              <w:rPr>
                <w:rFonts w:hint="eastAsia" w:ascii="仿宋" w:hAnsi="仿宋" w:eastAsia="仿宋" w:cs="仿宋"/>
                <w:color w:val="000000"/>
                <w:sz w:val="32"/>
                <w:szCs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noWrap w:val="0"/>
            <w:vAlign w:val="top"/>
          </w:tcPr>
          <w:p>
            <w:pPr>
              <w:wordWrap w:val="0"/>
              <w:jc w:val="right"/>
              <w:rPr>
                <w:rFonts w:hint="eastAsia" w:ascii="仿宋" w:hAnsi="仿宋" w:eastAsia="仿宋" w:cs="仿宋"/>
                <w:color w:val="000000"/>
                <w:sz w:val="32"/>
                <w:szCs w:val="32"/>
              </w:rPr>
            </w:pPr>
            <w:bookmarkStart w:id="10" w:name="PO_fqfrq"/>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月3</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lang w:eastAsia="zh-CN"/>
              </w:rPr>
              <w:t>日</w:t>
            </w:r>
            <w:bookmarkEnd w:id="10"/>
            <w:r>
              <w:rPr>
                <w:rFonts w:hint="eastAsia" w:ascii="仿宋" w:hAnsi="仿宋" w:eastAsia="仿宋" w:cs="仿宋"/>
                <w:color w:val="000000"/>
                <w:sz w:val="32"/>
                <w:szCs w:val="32"/>
              </w:rPr>
              <w:t xml:space="preserve">        </w:t>
            </w:r>
          </w:p>
        </w:tc>
      </w:tr>
    </w:tbl>
    <w:p>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w:t>
      </w:r>
      <w:bookmarkStart w:id="11" w:name="PO_ffz"/>
      <w:r>
        <w:rPr>
          <w:rFonts w:hint="eastAsia" w:ascii="仿宋" w:hAnsi="仿宋" w:eastAsia="仿宋" w:cs="仿宋"/>
          <w:color w:val="000000"/>
          <w:sz w:val="32"/>
          <w:szCs w:val="32"/>
          <w:lang w:eastAsia="zh-CN"/>
        </w:rPr>
        <w:t xml:space="preserve"> </w:t>
      </w:r>
      <w:bookmarkEnd w:id="11"/>
    </w:p>
    <w:tbl>
      <w:tblPr>
        <w:tblStyle w:val="6"/>
        <w:tblpPr w:leftFromText="180" w:rightFromText="180" w:horzAnchor="margin" w:tblpXSpec="center" w:tblpYSpec="bottom"/>
        <w:tblOverlap w:val="never"/>
        <w:tblW w:w="4886" w:type="pct"/>
        <w:tblInd w:w="0" w:type="dxa"/>
        <w:tblLayout w:type="autofit"/>
        <w:tblCellMar>
          <w:top w:w="0" w:type="dxa"/>
          <w:left w:w="0" w:type="dxa"/>
          <w:bottom w:w="0" w:type="dxa"/>
          <w:right w:w="0" w:type="dxa"/>
        </w:tblCellMar>
      </w:tblPr>
      <w:tblGrid>
        <w:gridCol w:w="4220"/>
        <w:gridCol w:w="4423"/>
      </w:tblGrid>
      <w:tr>
        <w:tblPrEx>
          <w:tblCellMar>
            <w:top w:w="0" w:type="dxa"/>
            <w:left w:w="0" w:type="dxa"/>
            <w:bottom w:w="0" w:type="dxa"/>
            <w:right w:w="0" w:type="dxa"/>
          </w:tblCellMar>
        </w:tblPrEx>
        <w:trPr>
          <w:trHeight w:val="567" w:hRule="atLeast"/>
        </w:trPr>
        <w:tc>
          <w:tcPr>
            <w:tcW w:w="5000" w:type="pct"/>
            <w:gridSpan w:val="2"/>
            <w:tcBorders>
              <w:top w:val="nil"/>
              <w:left w:val="nil"/>
              <w:bottom w:val="single" w:color="auto" w:sz="12" w:space="0"/>
              <w:right w:val="nil"/>
            </w:tcBorders>
            <w:noWrap w:val="0"/>
            <w:vAlign w:val="center"/>
          </w:tcPr>
          <w:p>
            <w:pPr>
              <w:spacing w:after="100" w:afterAutospacing="1" w:line="460" w:lineRule="exact"/>
              <w:ind w:right="205" w:rightChars="65" w:firstLine="276" w:firstLineChars="100"/>
              <w:textAlignment w:val="bottom"/>
              <w:rPr>
                <w:rFonts w:hint="eastAsia" w:ascii="仿宋" w:hAnsi="仿宋" w:eastAsia="仿宋" w:cs="仿宋_GB2312"/>
                <w:color w:val="000000"/>
                <w:sz w:val="28"/>
                <w:szCs w:val="28"/>
                <w:lang w:eastAsia="zh-CN"/>
              </w:rPr>
            </w:pPr>
            <w:r>
              <w:rPr>
                <w:rFonts w:hint="eastAsia" w:ascii="仿宋" w:hAnsi="仿宋" w:eastAsia="仿宋" w:cs="仿宋_GB2312"/>
                <w:color w:val="000000"/>
                <w:sz w:val="28"/>
                <w:szCs w:val="28"/>
              </w:rPr>
              <w:t>信息公开类型：</w:t>
            </w:r>
            <w:bookmarkStart w:id="12" w:name="PO_fgklx"/>
            <w:r>
              <w:rPr>
                <w:rFonts w:hint="eastAsia" w:ascii="仿宋" w:hAnsi="仿宋" w:eastAsia="仿宋" w:cs="仿宋_GB2312"/>
                <w:color w:val="000000"/>
                <w:sz w:val="28"/>
                <w:szCs w:val="28"/>
                <w:lang w:eastAsia="zh-CN"/>
              </w:rPr>
              <w:t>依申请公开</w:t>
            </w:r>
            <w:bookmarkEnd w:id="12"/>
          </w:p>
        </w:tc>
      </w:tr>
      <w:tr>
        <w:tblPrEx>
          <w:tblCellMar>
            <w:top w:w="0" w:type="dxa"/>
            <w:left w:w="0" w:type="dxa"/>
            <w:bottom w:w="0" w:type="dxa"/>
            <w:right w:w="0" w:type="dxa"/>
          </w:tblCellMar>
        </w:tblPrEx>
        <w:trPr>
          <w:trHeight w:val="510" w:hRule="atLeast"/>
        </w:trPr>
        <w:tc>
          <w:tcPr>
            <w:tcW w:w="2441" w:type="pct"/>
            <w:tcBorders>
              <w:top w:val="single" w:color="auto" w:sz="8" w:space="0"/>
              <w:left w:val="nil"/>
              <w:bottom w:val="single" w:color="auto" w:sz="12" w:space="0"/>
              <w:right w:val="nil"/>
            </w:tcBorders>
            <w:noWrap w:val="0"/>
            <w:vAlign w:val="center"/>
          </w:tcPr>
          <w:p>
            <w:pPr>
              <w:spacing w:after="100" w:line="460" w:lineRule="exact"/>
              <w:ind w:right="205" w:rightChars="65" w:firstLine="276" w:firstLineChars="100"/>
              <w:rPr>
                <w:rFonts w:ascii="仿宋" w:hAnsi="仿宋" w:eastAsia="仿宋"/>
                <w:color w:val="000000"/>
                <w:sz w:val="28"/>
                <w:szCs w:val="32"/>
              </w:rPr>
            </w:pPr>
            <w:r>
              <w:rPr>
                <w:rFonts w:hint="eastAsia" w:ascii="仿宋" w:hAnsi="仿宋" w:eastAsia="仿宋" w:cs="仿宋_GB2312"/>
                <w:color w:val="000000"/>
                <w:sz w:val="28"/>
                <w:szCs w:val="32"/>
              </w:rPr>
              <w:t>福建省财政厅办公室</w:t>
            </w:r>
          </w:p>
        </w:tc>
        <w:tc>
          <w:tcPr>
            <w:tcW w:w="2558" w:type="pct"/>
            <w:tcBorders>
              <w:top w:val="single" w:color="auto" w:sz="8" w:space="0"/>
              <w:left w:val="nil"/>
              <w:bottom w:val="single" w:color="auto" w:sz="12" w:space="0"/>
              <w:right w:val="nil"/>
            </w:tcBorders>
            <w:noWrap w:val="0"/>
            <w:vAlign w:val="center"/>
          </w:tcPr>
          <w:p>
            <w:pPr>
              <w:wordWrap w:val="0"/>
              <w:spacing w:after="100" w:afterAutospacing="1" w:line="460" w:lineRule="exact"/>
              <w:ind w:right="205" w:rightChars="65" w:firstLine="1104" w:firstLineChars="400"/>
              <w:jc w:val="both"/>
              <w:textAlignment w:val="bottom"/>
              <w:rPr>
                <w:rFonts w:ascii="仿宋_GB2312" w:eastAsia="仿宋_GB2312"/>
                <w:color w:val="000000"/>
                <w:sz w:val="32"/>
                <w:szCs w:val="32"/>
              </w:rPr>
            </w:pPr>
            <w:bookmarkStart w:id="13" w:name="PO_fyfrq"/>
            <w:r>
              <w:rPr>
                <w:rFonts w:hint="eastAsia" w:ascii="仿宋" w:hAnsi="仿宋" w:eastAsia="仿宋" w:cs="仿宋_GB2312"/>
                <w:color w:val="000000"/>
                <w:sz w:val="28"/>
                <w:szCs w:val="32"/>
                <w:lang w:eastAsia="zh-CN"/>
              </w:rPr>
              <w:t>2023年</w:t>
            </w:r>
            <w:r>
              <w:rPr>
                <w:rFonts w:hint="eastAsia" w:ascii="仿宋" w:hAnsi="仿宋" w:eastAsia="仿宋" w:cs="仿宋_GB2312"/>
                <w:color w:val="000000"/>
                <w:sz w:val="28"/>
                <w:szCs w:val="32"/>
                <w:lang w:val="en-US" w:eastAsia="zh-CN"/>
              </w:rPr>
              <w:t>6</w:t>
            </w:r>
            <w:r>
              <w:rPr>
                <w:rFonts w:hint="eastAsia" w:ascii="仿宋" w:hAnsi="仿宋" w:eastAsia="仿宋" w:cs="仿宋_GB2312"/>
                <w:color w:val="000000"/>
                <w:sz w:val="28"/>
                <w:szCs w:val="32"/>
                <w:lang w:eastAsia="zh-CN"/>
              </w:rPr>
              <w:t>月3</w:t>
            </w:r>
            <w:r>
              <w:rPr>
                <w:rFonts w:hint="eastAsia" w:ascii="仿宋" w:hAnsi="仿宋" w:eastAsia="仿宋" w:cs="仿宋_GB2312"/>
                <w:color w:val="000000"/>
                <w:sz w:val="28"/>
                <w:szCs w:val="32"/>
                <w:lang w:val="en-US" w:eastAsia="zh-CN"/>
              </w:rPr>
              <w:t>0</w:t>
            </w:r>
            <w:r>
              <w:rPr>
                <w:rFonts w:hint="eastAsia" w:ascii="仿宋" w:hAnsi="仿宋" w:eastAsia="仿宋" w:cs="仿宋_GB2312"/>
                <w:color w:val="000000"/>
                <w:sz w:val="28"/>
                <w:szCs w:val="32"/>
                <w:lang w:eastAsia="zh-CN"/>
              </w:rPr>
              <w:t>日</w:t>
            </w:r>
            <w:bookmarkEnd w:id="13"/>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pPr>
        <w:rPr>
          <w:rFonts w:hint="eastAsia" w:ascii="仿宋" w:hAnsi="仿宋" w:eastAsia="仿宋" w:cs="仿宋"/>
          <w:sz w:val="32"/>
          <w:szCs w:val="36"/>
        </w:rPr>
      </w:pPr>
    </w:p>
    <w:p>
      <w:pPr>
        <w:rPr>
          <w:rFonts w:hint="eastAsia" w:ascii="仿宋" w:hAnsi="仿宋" w:eastAsia="仿宋" w:cs="仿宋"/>
          <w:sz w:val="32"/>
          <w:szCs w:val="32"/>
        </w:rPr>
      </w:pPr>
      <w:r>
        <w:rPr>
          <w:rFonts w:hint="eastAsia" w:ascii="仿宋" w:hAnsi="仿宋" w:eastAsia="仿宋" w:cs="仿宋"/>
          <w:color w:val="000000"/>
          <w:sz w:val="32"/>
          <w:szCs w:val="32"/>
        </w:rPr>
        <w:drawing>
          <wp:anchor distT="0" distB="0" distL="114300" distR="114300" simplePos="0" relativeHeight="251660288" behindDoc="0" locked="0" layoutInCell="1" allowOverlap="1">
            <wp:simplePos x="0" y="0"/>
            <wp:positionH relativeFrom="page">
              <wp:posOffset>4479290</wp:posOffset>
            </wp:positionH>
            <wp:positionV relativeFrom="page">
              <wp:posOffset>9551035</wp:posOffset>
            </wp:positionV>
            <wp:extent cx="1892300" cy="444500"/>
            <wp:effectExtent l="0" t="0" r="12700" b="12700"/>
            <wp:wrapNone/>
            <wp:docPr id="6" name="barcode" descr="9011001230010888"/>
            <wp:cNvGraphicFramePr/>
            <a:graphic xmlns:a="http://schemas.openxmlformats.org/drawingml/2006/main">
              <a:graphicData uri="http://schemas.openxmlformats.org/drawingml/2006/picture">
                <pic:pic xmlns:pic="http://schemas.openxmlformats.org/drawingml/2006/picture">
                  <pic:nvPicPr>
                    <pic:cNvPr id="6" name="barcode" descr="9011001230010888"/>
                    <pic:cNvPicPr/>
                  </pic:nvPicPr>
                  <pic:blipFill>
                    <a:blip r:embed="rId10"/>
                    <a:stretch>
                      <a:fillRect/>
                    </a:stretch>
                  </pic:blipFill>
                  <pic:spPr>
                    <a:xfrm>
                      <a:off x="0" y="0"/>
                      <a:ext cx="1892300" cy="444500"/>
                    </a:xfrm>
                    <a:prstGeom prst="rect">
                      <a:avLst/>
                    </a:prstGeom>
                  </pic:spPr>
                </pic:pic>
              </a:graphicData>
            </a:graphic>
          </wp:anchor>
        </w:drawing>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0" w:firstLine="0" w:firstLineChars="0"/>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320" w:leftChars="100" w:right="0" w:firstLine="0" w:firstLineChars="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ind w:left="320" w:leftChars="100" w:right="0" w:firstLine="0" w:firstLineChars="0"/>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ragraph">
                <wp:posOffset>-177165</wp:posOffset>
              </wp:positionV>
              <wp:extent cx="6120130" cy="0"/>
              <wp:effectExtent l="0" t="31750" r="6350" b="4445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63500" cap="flat" cmpd="thinThick">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5pt;margin-top:-13.95pt;height:0pt;width:481.9pt;mso-position-horizontal-relative:page;z-index:251663360;mso-width-relative:page;mso-height-relative:page;" filled="f" stroked="t" coordsize="21600,21600" o:gfxdata="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sWATYAAAADAEAAA8AAAAAAAAAAQAgAAAAIgAAAGRycy9kb3ducmV2Lnht&#10;bFBLAQIUABQAAAAIAIdO4kCSnmWW+QEAAOsDAAAOAAAAAAAAAAEAIAAAACcBAABkcnMvZTJvRG9j&#10;LnhtbFBLBQYAAAAABgAGAFkBAACSBQAAAAA=&#10;">
              <v:fill on="f" focussize="0,0"/>
              <v:stroke weight="5pt" color="#FFFFFF" linestyle="thinThick" joinstyle="round"/>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MzRkMTYxYzJjYzAxNTVjNmQxMmJmOTVmZTI5MDMifQ=="/>
  </w:docVars>
  <w:rsids>
    <w:rsidRoot w:val="005E7243"/>
    <w:rsid w:val="000253FA"/>
    <w:rsid w:val="00027E6E"/>
    <w:rsid w:val="0006165A"/>
    <w:rsid w:val="00072E52"/>
    <w:rsid w:val="000744A4"/>
    <w:rsid w:val="000978BC"/>
    <w:rsid w:val="000B3399"/>
    <w:rsid w:val="000E6968"/>
    <w:rsid w:val="00116C7A"/>
    <w:rsid w:val="0013746F"/>
    <w:rsid w:val="00145C75"/>
    <w:rsid w:val="001538F6"/>
    <w:rsid w:val="001745DC"/>
    <w:rsid w:val="001851DD"/>
    <w:rsid w:val="001865AB"/>
    <w:rsid w:val="00195B6A"/>
    <w:rsid w:val="001A35A6"/>
    <w:rsid w:val="001B667D"/>
    <w:rsid w:val="002118C0"/>
    <w:rsid w:val="002269D4"/>
    <w:rsid w:val="00231764"/>
    <w:rsid w:val="00237DC9"/>
    <w:rsid w:val="00245BD9"/>
    <w:rsid w:val="00253BD6"/>
    <w:rsid w:val="00283713"/>
    <w:rsid w:val="002A3181"/>
    <w:rsid w:val="002B0483"/>
    <w:rsid w:val="002C0472"/>
    <w:rsid w:val="002C7F0A"/>
    <w:rsid w:val="002D060D"/>
    <w:rsid w:val="002D375A"/>
    <w:rsid w:val="002F19C0"/>
    <w:rsid w:val="002F32E4"/>
    <w:rsid w:val="00317448"/>
    <w:rsid w:val="00334DFB"/>
    <w:rsid w:val="00345192"/>
    <w:rsid w:val="00354EA9"/>
    <w:rsid w:val="003828FA"/>
    <w:rsid w:val="00396E4C"/>
    <w:rsid w:val="003A09E7"/>
    <w:rsid w:val="00410875"/>
    <w:rsid w:val="00413FB7"/>
    <w:rsid w:val="00423A13"/>
    <w:rsid w:val="00430031"/>
    <w:rsid w:val="00430145"/>
    <w:rsid w:val="00445CE2"/>
    <w:rsid w:val="00452C40"/>
    <w:rsid w:val="00461224"/>
    <w:rsid w:val="00470A69"/>
    <w:rsid w:val="0047292B"/>
    <w:rsid w:val="00472F9E"/>
    <w:rsid w:val="00475982"/>
    <w:rsid w:val="0048765D"/>
    <w:rsid w:val="004B2FE4"/>
    <w:rsid w:val="004D3B32"/>
    <w:rsid w:val="00520D3F"/>
    <w:rsid w:val="005911D6"/>
    <w:rsid w:val="005C7443"/>
    <w:rsid w:val="005E7243"/>
    <w:rsid w:val="005E7BDD"/>
    <w:rsid w:val="005F2570"/>
    <w:rsid w:val="0060455B"/>
    <w:rsid w:val="0066178F"/>
    <w:rsid w:val="00691574"/>
    <w:rsid w:val="006A3DF8"/>
    <w:rsid w:val="006E79A9"/>
    <w:rsid w:val="00702FAB"/>
    <w:rsid w:val="00726EF9"/>
    <w:rsid w:val="00734265"/>
    <w:rsid w:val="00755487"/>
    <w:rsid w:val="0079728D"/>
    <w:rsid w:val="007C193A"/>
    <w:rsid w:val="007C569E"/>
    <w:rsid w:val="007E5E0D"/>
    <w:rsid w:val="00803CCF"/>
    <w:rsid w:val="00804A05"/>
    <w:rsid w:val="0087156E"/>
    <w:rsid w:val="00875F2C"/>
    <w:rsid w:val="0088476D"/>
    <w:rsid w:val="00896B41"/>
    <w:rsid w:val="008A0FF1"/>
    <w:rsid w:val="008E2231"/>
    <w:rsid w:val="008E71C0"/>
    <w:rsid w:val="00906CEA"/>
    <w:rsid w:val="00916F60"/>
    <w:rsid w:val="00947253"/>
    <w:rsid w:val="00965B0F"/>
    <w:rsid w:val="00982794"/>
    <w:rsid w:val="00997049"/>
    <w:rsid w:val="009D268E"/>
    <w:rsid w:val="009E611E"/>
    <w:rsid w:val="009E7626"/>
    <w:rsid w:val="00A26E0B"/>
    <w:rsid w:val="00A75DE6"/>
    <w:rsid w:val="00A8598A"/>
    <w:rsid w:val="00A9035B"/>
    <w:rsid w:val="00A95F4A"/>
    <w:rsid w:val="00AB00BB"/>
    <w:rsid w:val="00AC190C"/>
    <w:rsid w:val="00AC3F61"/>
    <w:rsid w:val="00B31BED"/>
    <w:rsid w:val="00B47EE3"/>
    <w:rsid w:val="00BC54D6"/>
    <w:rsid w:val="00BE0177"/>
    <w:rsid w:val="00BF0FF3"/>
    <w:rsid w:val="00C11E5F"/>
    <w:rsid w:val="00C22D6F"/>
    <w:rsid w:val="00C34A5A"/>
    <w:rsid w:val="00C37F2A"/>
    <w:rsid w:val="00C52395"/>
    <w:rsid w:val="00C60497"/>
    <w:rsid w:val="00C673F1"/>
    <w:rsid w:val="00C74739"/>
    <w:rsid w:val="00C81EB3"/>
    <w:rsid w:val="00C909AD"/>
    <w:rsid w:val="00CB6A69"/>
    <w:rsid w:val="00D254D2"/>
    <w:rsid w:val="00D61369"/>
    <w:rsid w:val="00D61F6F"/>
    <w:rsid w:val="00DE3ED6"/>
    <w:rsid w:val="00DE7774"/>
    <w:rsid w:val="00E503FB"/>
    <w:rsid w:val="00E564DE"/>
    <w:rsid w:val="00E93B81"/>
    <w:rsid w:val="00EA0676"/>
    <w:rsid w:val="00EF2EEB"/>
    <w:rsid w:val="00EF42DE"/>
    <w:rsid w:val="00F952AF"/>
    <w:rsid w:val="00F954E9"/>
    <w:rsid w:val="00FC58D3"/>
    <w:rsid w:val="028528E4"/>
    <w:rsid w:val="04AC5B5A"/>
    <w:rsid w:val="0FEB6310"/>
    <w:rsid w:val="216915F0"/>
    <w:rsid w:val="3C732D21"/>
    <w:rsid w:val="3C7671BF"/>
    <w:rsid w:val="4103650A"/>
    <w:rsid w:val="4B3C5314"/>
    <w:rsid w:val="4E776090"/>
    <w:rsid w:val="56125DBC"/>
    <w:rsid w:val="570E6174"/>
    <w:rsid w:val="5A815D32"/>
    <w:rsid w:val="5DF5346E"/>
    <w:rsid w:val="5EEF1412"/>
    <w:rsid w:val="73FD1C09"/>
    <w:rsid w:val="76FFAB4D"/>
    <w:rsid w:val="7EFF6425"/>
    <w:rsid w:val="EF4BED2C"/>
    <w:rsid w:val="FDFE8642"/>
    <w:rsid w:val="FE9F8ABC"/>
    <w:rsid w:val="FF7406BB"/>
    <w:rsid w:val="FF7F1685"/>
    <w:rsid w:val="FFC9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588" w:lineRule="atLeast"/>
    </w:pPr>
    <w:rPr>
      <w:rFonts w:ascii="宋体" w:hAnsi="宋体" w:eastAsia="仿宋_GB2312"/>
      <w:spacing w:val="-2"/>
      <w:kern w:val="0"/>
      <w:szCs w:val="24"/>
    </w:rPr>
  </w:style>
  <w:style w:type="paragraph" w:styleId="3">
    <w:name w:val="Balloon Text"/>
    <w:basedOn w:val="1"/>
    <w:link w:val="10"/>
    <w:qFormat/>
    <w:uiPriority w:val="0"/>
    <w:rPr>
      <w:rFonts w:ascii="Times New Roman" w:hAnsi="Times New Roman" w:eastAsia="仿宋" w:cs="Times New Roman"/>
      <w:sz w:val="18"/>
      <w:szCs w:val="18"/>
    </w:rPr>
  </w:style>
  <w:style w:type="paragraph" w:styleId="4">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character" w:customStyle="1" w:styleId="10">
    <w:name w:val="批注框文本 Char"/>
    <w:basedOn w:val="8"/>
    <w:link w:val="3"/>
    <w:qFormat/>
    <w:uiPriority w:val="0"/>
    <w:rPr>
      <w:rFonts w:ascii="Times New Roman" w:hAnsi="Times New Roman" w:eastAsia="仿宋" w:cs="Times New Roman"/>
      <w:sz w:val="18"/>
      <w:szCs w:val="18"/>
    </w:rPr>
  </w:style>
  <w:style w:type="paragraph" w:customStyle="1" w:styleId="11">
    <w:name w:val="正文 + 仿宋_GB2312"/>
    <w:basedOn w:val="1"/>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4765</Words>
  <Characters>4898</Characters>
  <Lines>1</Lines>
  <Paragraphs>1</Paragraphs>
  <TotalTime>28</TotalTime>
  <ScaleCrop>false</ScaleCrop>
  <LinksUpToDate>false</LinksUpToDate>
  <CharactersWithSpaces>4972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2019-12-24T20:26:00Z</dcterms:created>
  <dc:creator>duan z</dc:creator>
  <cp:lastModifiedBy>骑着蜗牛上高速</cp:lastModifiedBy>
  <dcterms:modified xsi:type="dcterms:W3CDTF">2023-07-12T09:36:11Z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3413131B079F460A9C7D0A60F95A57A0_12</vt:lpwstr>
  </property>
</Properties>
</file>