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福建省大数据管理新技术与知识工程重点实验室</w:t>
      </w:r>
    </w:p>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智能计算与信息处理福建省高等学校重点实验室</w:t>
      </w:r>
    </w:p>
    <w:p>
      <w:pPr>
        <w:pStyle w:val="2"/>
        <w:widowControl/>
        <w:spacing w:beforeAutospacing="0" w:afterAutospacing="0" w:line="330" w:lineRule="atLeast"/>
        <w:jc w:val="center"/>
        <w:rPr>
          <w:rFonts w:hint="default" w:cs="宋体"/>
          <w:color w:val="000000"/>
          <w:sz w:val="32"/>
          <w:szCs w:val="32"/>
        </w:rPr>
      </w:pPr>
      <w:bookmarkStart w:id="1" w:name="_GoBack"/>
      <w:r>
        <w:rPr>
          <w:rFonts w:cs="宋体"/>
          <w:color w:val="555555"/>
          <w:sz w:val="32"/>
          <w:szCs w:val="32"/>
          <w:shd w:val="clear" w:color="auto" w:fill="FFFFFF"/>
        </w:rPr>
        <w:t>开放课题经费管理规定(20</w:t>
      </w:r>
      <w:r>
        <w:rPr>
          <w:rFonts w:hint="eastAsia" w:cs="宋体"/>
          <w:color w:val="555555"/>
          <w:sz w:val="32"/>
          <w:szCs w:val="32"/>
          <w:shd w:val="clear" w:color="auto" w:fill="FFFFFF"/>
          <w:lang w:val="en-US" w:eastAsia="zh-CN"/>
        </w:rPr>
        <w:t>20</w:t>
      </w:r>
      <w:r>
        <w:rPr>
          <w:rFonts w:cs="宋体"/>
          <w:color w:val="555555"/>
          <w:sz w:val="32"/>
          <w:szCs w:val="32"/>
          <w:shd w:val="clear" w:color="auto" w:fill="FFFFFF"/>
        </w:rPr>
        <w:t>年</w:t>
      </w:r>
      <w:r>
        <w:rPr>
          <w:rFonts w:hint="eastAsia" w:cs="宋体"/>
          <w:color w:val="555555"/>
          <w:sz w:val="32"/>
          <w:szCs w:val="32"/>
          <w:shd w:val="clear" w:color="auto" w:fill="FFFFFF"/>
          <w:lang w:eastAsia="zh-CN"/>
        </w:rPr>
        <w:t>修订</w:t>
      </w:r>
      <w:r>
        <w:rPr>
          <w:rFonts w:cs="宋体"/>
          <w:color w:val="555555"/>
          <w:sz w:val="32"/>
          <w:szCs w:val="32"/>
          <w:shd w:val="clear" w:color="auto" w:fill="FFFFFF"/>
        </w:rPr>
        <w:t>）</w:t>
      </w:r>
      <w:bookmarkEnd w:id="1"/>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一、总则</w:t>
      </w:r>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  福建省大数据管理新技术与知识工程重点实验室、</w:t>
      </w:r>
      <w:bookmarkStart w:id="0" w:name="OLE_LINK3"/>
      <w:r>
        <w:rPr>
          <w:rFonts w:hint="eastAsia" w:asciiTheme="minorEastAsia" w:hAnsiTheme="minorEastAsia" w:cstheme="minorEastAsia"/>
          <w:color w:val="555555"/>
          <w:sz w:val="28"/>
          <w:szCs w:val="28"/>
          <w:shd w:val="clear" w:color="auto" w:fill="FFFFFF"/>
        </w:rPr>
        <w:t>智能计算与信息处理福建省高等学校重点实验室</w:t>
      </w:r>
      <w:bookmarkEnd w:id="0"/>
      <w:r>
        <w:rPr>
          <w:rFonts w:hint="eastAsia" w:asciiTheme="minorEastAsia" w:hAnsiTheme="minorEastAsia" w:cstheme="minorEastAsia"/>
          <w:color w:val="555555"/>
          <w:sz w:val="28"/>
          <w:szCs w:val="28"/>
          <w:shd w:val="clear" w:color="auto" w:fill="FFFFFF"/>
        </w:rPr>
        <w:t>（以下简称：实验室）开放课题是实验室建设的重要组成部分，是主要围绕实验室发展方向而设置的科研课题。开放课题本着“创新、求实、开放、交流”的原则，欢迎省内外研究人员共同开展研究。 实验室开放课题的经费使用应严格按照泉州师范学院经费管理的有关规定执行。</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二、课题经费支出范围</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 xml:space="preserve">    开放基金项目经费由各课题负责人掌握使用，只能用于该课题的研究工作，其开支范围为：</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1、与资助的开放课题研究相关的科研费用：包括知识产权事务费、零星材料费；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2、学术活动费，包括由开放课题资助的论文发表版面费、著作出版费；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3、外地客座人员在重点实验室工作期间的往来旅差费、住宿费；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三、课题经费的使用方法： </w:t>
      </w:r>
    </w:p>
    <w:p>
      <w:pPr>
        <w:pStyle w:val="3"/>
        <w:widowControl/>
        <w:spacing w:beforeAutospacing="0" w:afterAutospacing="0" w:line="330" w:lineRule="atLeast"/>
        <w:rPr>
          <w:rFonts w:hint="eastAsia" w:asciiTheme="minorEastAsia" w:hAnsiTheme="minorEastAsia" w:cstheme="minorEastAsia"/>
          <w:color w:val="555555"/>
          <w:sz w:val="28"/>
          <w:szCs w:val="28"/>
          <w:shd w:val="clear" w:color="auto" w:fill="FFFFFF"/>
          <w:lang w:val="en-US" w:eastAsia="zh-CN"/>
        </w:rPr>
      </w:pPr>
      <w:r>
        <w:rPr>
          <w:rFonts w:hint="eastAsia" w:asciiTheme="minorEastAsia" w:hAnsiTheme="minorEastAsia" w:cstheme="minorEastAsia"/>
          <w:color w:val="555555"/>
          <w:sz w:val="28"/>
          <w:szCs w:val="28"/>
          <w:shd w:val="clear" w:color="auto" w:fill="FFFFFF"/>
        </w:rPr>
        <w:t>1、</w:t>
      </w:r>
      <w:r>
        <w:rPr>
          <w:rFonts w:hint="eastAsia" w:asciiTheme="minorEastAsia" w:hAnsiTheme="minorEastAsia" w:cstheme="minorEastAsia"/>
          <w:color w:val="555555"/>
          <w:sz w:val="28"/>
          <w:szCs w:val="28"/>
          <w:shd w:val="clear" w:color="auto" w:fill="FFFFFF"/>
          <w:lang w:val="en-US" w:eastAsia="zh-CN"/>
        </w:rPr>
        <w:t>每个开放课题资助金额为2~3万元，课题立项后划拨1万；中期检查合格后再划拨1万；对项目执行效果优秀的项目划拨第3万。</w:t>
      </w:r>
    </w:p>
    <w:p>
      <w:pPr>
        <w:pStyle w:val="3"/>
        <w:widowControl/>
        <w:spacing w:beforeAutospacing="0" w:afterAutospacing="0" w:line="330" w:lineRule="atLeast"/>
        <w:rPr>
          <w:rFonts w:hint="eastAsia" w:asciiTheme="minorEastAsia" w:hAnsiTheme="minorEastAsia" w:cstheme="minorEastAsia"/>
          <w:color w:val="555555"/>
          <w:sz w:val="28"/>
          <w:szCs w:val="28"/>
          <w:shd w:val="clear" w:color="auto" w:fill="FFFFFF"/>
          <w:lang w:val="en-US" w:eastAsia="zh-CN"/>
        </w:rPr>
      </w:pPr>
      <w:r>
        <w:rPr>
          <w:rFonts w:hint="eastAsia" w:asciiTheme="minorEastAsia" w:hAnsiTheme="minorEastAsia" w:cstheme="minorEastAsia"/>
          <w:color w:val="555555"/>
          <w:sz w:val="28"/>
          <w:szCs w:val="28"/>
          <w:shd w:val="clear" w:color="auto" w:fill="FFFFFF"/>
          <w:lang w:val="en-US" w:eastAsia="zh-CN"/>
        </w:rPr>
        <w:t>2、项目执行效果优秀的认定标准：发表实验室为第一署名单位的论文；与实验室共同申请获批市级以上科研项目，项目资金进入我校；与实验室共同获得科研项目奖励等。</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四、项目经费开支的有关问题说明：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1、如需其他支出，必须事先征得重点实验室主任的同意，并报送学校有关部门审核备案，否则不得使用开放基金支付。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2、客座人员的学术活动费，按照泉州师范学院财务处的规定进行报销。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3、经检查如发现研究课题因故中断，无法继续进行，或获资助的研究课题在研究过程中与研究计划有重大偏离，且无正当理由时，经实验室主任批准后，可以中断该课题基金的使用或取消原批准的经费。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4、本办法由重点实验室及校科研处负责解释，自公布之日起执行。</w:t>
      </w:r>
    </w:p>
    <w:p>
      <w:pPr>
        <w:rPr>
          <w:rFonts w:asciiTheme="minorEastAsia" w:hAnsiTheme="minorEastAsia" w:cstheme="minorEastAsia"/>
          <w:color w:val="000000"/>
          <w:spacing w:val="-9"/>
          <w:sz w:val="28"/>
          <w:szCs w:val="28"/>
          <w:shd w:val="clear" w:color="auto" w:fill="FFFFFF"/>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right"/>
        <w:rPr>
          <w:rFonts w:asciiTheme="minorEastAsia" w:hAnsiTheme="minorEastAsia" w:cstheme="minorEastAsia"/>
          <w:sz w:val="28"/>
          <w:szCs w:val="28"/>
        </w:rPr>
      </w:pPr>
      <w:r>
        <w:rPr>
          <w:rFonts w:hint="eastAsia" w:asciiTheme="minorEastAsia" w:hAnsiTheme="minorEastAsia" w:cstheme="minorEastAsia"/>
          <w:sz w:val="28"/>
          <w:szCs w:val="28"/>
        </w:rPr>
        <w:t>20</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8</w:t>
      </w:r>
      <w:r>
        <w:rPr>
          <w:rFonts w:hint="eastAsia" w:asciiTheme="minorEastAsia" w:hAnsi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20CD4"/>
    <w:rsid w:val="001B5FA1"/>
    <w:rsid w:val="008659DB"/>
    <w:rsid w:val="009930AB"/>
    <w:rsid w:val="00CC7C79"/>
    <w:rsid w:val="00DE29E5"/>
    <w:rsid w:val="0D7E1724"/>
    <w:rsid w:val="23C5265C"/>
    <w:rsid w:val="45E20CD4"/>
    <w:rsid w:val="645D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677</Characters>
  <Lines>5</Lines>
  <Paragraphs>1</Paragraphs>
  <TotalTime>2</TotalTime>
  <ScaleCrop>false</ScaleCrop>
  <LinksUpToDate>false</LinksUpToDate>
  <CharactersWithSpaces>794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2016-05-05T15:59:00Z</dcterms:created>
  <dc:creator>dex</dc:creator>
  <cp:lastModifiedBy>dex</cp:lastModifiedBy>
  <dcterms:modified xsi:type="dcterms:W3CDTF">2020-10-11T14:11:37Z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