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Autospacing="0" w:line="330" w:lineRule="atLeast"/>
        <w:jc w:val="center"/>
        <w:rPr>
          <w:rFonts w:hint="default" w:cs="宋体"/>
          <w:color w:val="000000"/>
          <w:sz w:val="32"/>
          <w:szCs w:val="32"/>
        </w:rPr>
      </w:pPr>
      <w:r>
        <w:rPr>
          <w:rFonts w:cs="宋体"/>
          <w:color w:val="555555"/>
          <w:sz w:val="32"/>
          <w:szCs w:val="32"/>
          <w:shd w:val="clear" w:color="auto" w:fill="FFFFFF"/>
        </w:rPr>
        <w:t>福建省大数据管理新技术与知识工程重点实验室</w:t>
      </w:r>
    </w:p>
    <w:p>
      <w:pPr>
        <w:pStyle w:val="2"/>
        <w:widowControl/>
        <w:spacing w:beforeAutospacing="0" w:afterAutospacing="0" w:line="330" w:lineRule="atLeast"/>
        <w:jc w:val="center"/>
        <w:rPr>
          <w:rFonts w:hint="default" w:cs="宋体"/>
          <w:color w:val="000000"/>
          <w:sz w:val="32"/>
          <w:szCs w:val="32"/>
        </w:rPr>
      </w:pPr>
      <w:r>
        <w:rPr>
          <w:rFonts w:cs="宋体"/>
          <w:color w:val="555555"/>
          <w:sz w:val="32"/>
          <w:szCs w:val="32"/>
          <w:shd w:val="clear" w:color="auto" w:fill="FFFFFF"/>
        </w:rPr>
        <w:t>智能计算与信息处理福建省高等学校重点实验室</w:t>
      </w:r>
    </w:p>
    <w:p>
      <w:pPr>
        <w:pStyle w:val="2"/>
        <w:widowControl/>
        <w:spacing w:beforeAutospacing="0" w:afterAutospacing="0" w:line="330" w:lineRule="atLeast"/>
        <w:jc w:val="center"/>
        <w:rPr>
          <w:rFonts w:hint="default" w:cs="宋体"/>
          <w:color w:val="000000"/>
          <w:sz w:val="32"/>
          <w:szCs w:val="32"/>
        </w:rPr>
      </w:pPr>
      <w:r>
        <w:rPr>
          <w:rFonts w:cs="宋体"/>
          <w:color w:val="555555"/>
          <w:sz w:val="32"/>
          <w:szCs w:val="32"/>
          <w:shd w:val="clear" w:color="auto" w:fill="FFFFFF"/>
        </w:rPr>
        <w:t>开放课题经费管理规定(201</w:t>
      </w:r>
      <w:r>
        <w:rPr>
          <w:rFonts w:hint="default" w:cs="宋体"/>
          <w:color w:val="555555"/>
          <w:sz w:val="32"/>
          <w:szCs w:val="32"/>
          <w:shd w:val="clear" w:color="auto" w:fill="FFFFFF"/>
        </w:rPr>
        <w:t>8</w:t>
      </w:r>
      <w:r>
        <w:rPr>
          <w:rFonts w:cs="宋体"/>
          <w:color w:val="555555"/>
          <w:sz w:val="32"/>
          <w:szCs w:val="32"/>
          <w:shd w:val="clear" w:color="auto" w:fill="FFFFFF"/>
        </w:rPr>
        <w:t>年</w:t>
      </w:r>
      <w:r>
        <w:rPr>
          <w:rFonts w:hint="eastAsia" w:cs="宋体"/>
          <w:color w:val="555555"/>
          <w:sz w:val="32"/>
          <w:szCs w:val="32"/>
          <w:shd w:val="clear" w:color="auto" w:fill="FFFFFF"/>
          <w:lang w:eastAsia="zh-CN"/>
        </w:rPr>
        <w:t>修订</w:t>
      </w:r>
      <w:r>
        <w:rPr>
          <w:rFonts w:cs="宋体"/>
          <w:color w:val="555555"/>
          <w:sz w:val="32"/>
          <w:szCs w:val="32"/>
          <w:shd w:val="clear" w:color="auto" w:fill="FFFFFF"/>
        </w:rPr>
        <w:t>）</w:t>
      </w:r>
    </w:p>
    <w:p>
      <w:pPr>
        <w:pStyle w:val="3"/>
        <w:widowControl/>
        <w:spacing w:beforeAutospacing="0" w:afterAutospacing="0" w:line="330" w:lineRule="atLeast"/>
        <w:rPr>
          <w:rFonts w:asciiTheme="minorEastAsia" w:hAnsiTheme="minorEastAsia" w:cstheme="minorEastAsia"/>
          <w:color w:val="000000"/>
          <w:sz w:val="28"/>
          <w:szCs w:val="28"/>
        </w:rPr>
      </w:pPr>
      <w:r>
        <w:rPr>
          <w:rFonts w:hint="eastAsia" w:asciiTheme="minorEastAsia" w:hAnsiTheme="minorEastAsia" w:cstheme="minorEastAsia"/>
          <w:color w:val="555555"/>
          <w:sz w:val="28"/>
          <w:szCs w:val="28"/>
          <w:shd w:val="clear" w:color="auto" w:fill="FFFFFF"/>
        </w:rPr>
        <w:t>一、总则</w:t>
      </w:r>
    </w:p>
    <w:p>
      <w:pPr>
        <w:pStyle w:val="3"/>
        <w:widowControl/>
        <w:spacing w:beforeAutospacing="0" w:afterAutospacing="0" w:line="330" w:lineRule="atLeast"/>
        <w:rPr>
          <w:rFonts w:asciiTheme="minorEastAsia" w:hAnsiTheme="minorEastAsia" w:cstheme="minorEastAsia"/>
          <w:color w:val="000000"/>
          <w:sz w:val="28"/>
          <w:szCs w:val="28"/>
        </w:rPr>
      </w:pPr>
      <w:r>
        <w:rPr>
          <w:rFonts w:hint="eastAsia" w:asciiTheme="minorEastAsia" w:hAnsiTheme="minorEastAsia" w:cstheme="minorEastAsia"/>
          <w:color w:val="555555"/>
          <w:sz w:val="28"/>
          <w:szCs w:val="28"/>
          <w:shd w:val="clear" w:color="auto" w:fill="FFFFFF"/>
        </w:rPr>
        <w:t>  福建省大数据管理新技术与知识工程重点实验室、</w:t>
      </w:r>
      <w:bookmarkStart w:id="0" w:name="OLE_LINK3"/>
      <w:r>
        <w:rPr>
          <w:rFonts w:hint="eastAsia" w:asciiTheme="minorEastAsia" w:hAnsiTheme="minorEastAsia" w:cstheme="minorEastAsia"/>
          <w:color w:val="555555"/>
          <w:sz w:val="28"/>
          <w:szCs w:val="28"/>
          <w:shd w:val="clear" w:color="auto" w:fill="FFFFFF"/>
        </w:rPr>
        <w:t>智能计算与信息处理福建省高等学校重点实验室</w:t>
      </w:r>
      <w:bookmarkEnd w:id="0"/>
      <w:r>
        <w:rPr>
          <w:rFonts w:hint="eastAsia" w:asciiTheme="minorEastAsia" w:hAnsiTheme="minorEastAsia" w:cstheme="minorEastAsia"/>
          <w:color w:val="555555"/>
          <w:sz w:val="28"/>
          <w:szCs w:val="28"/>
          <w:shd w:val="clear" w:color="auto" w:fill="FFFFFF"/>
        </w:rPr>
        <w:t>（以下简称：实验室）开放课题是实验室建设的重要组成部分，是主要围绕实验室发展方向而设置的科研课题。开放课题本着“创新、求实、开放、交流”的原则，欢迎省内外研究人员共同开展研究。 实验室开放课题的经费使用应严格按照泉州师范学院经费管理的有关规定执行。</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二、课题经费支出范围</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 xml:space="preserve">    开放基金项目经费由各课题负责人掌握使用，只能用于该课题的研究工作，其开支范围为：</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1、与资助的开放课题研究相关的科研费用：包括知识产权事务费、零星材料费；</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2、学术活动费，包括由开放课题资助的论文发表版面费、著作出版费；</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3、外地客座人员在重点实验室工作期间的往来旅差费、住宿费；</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三、课题经费的使用方法： </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1、课题基金在本实验室内使用，不下拨至申请人单位。 </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2、所有报账发票必须抬头必须为“泉州师范学院”。</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3、课题经费每年6月上旬、12月上旬由课题负责人及实验室协助人员</w:t>
      </w:r>
      <w:bookmarkStart w:id="1" w:name="_GoBack"/>
      <w:bookmarkEnd w:id="1"/>
      <w:r>
        <w:rPr>
          <w:rFonts w:hint="eastAsia" w:asciiTheme="minorEastAsia" w:hAnsiTheme="minorEastAsia" w:cstheme="minorEastAsia"/>
          <w:color w:val="555555"/>
          <w:sz w:val="28"/>
          <w:szCs w:val="28"/>
          <w:shd w:val="clear" w:color="auto" w:fill="FFFFFF"/>
        </w:rPr>
        <w:t>到学校财务部门报账。其他时间不予经费报账。</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4、本实验室经费每年核算一次。如课题结束后经费有余，结余经费由实验室收回。</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四、项目经费开支的有关问题说明： </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1、如需其他支出，必须事先征得重点实验室主任的同意，并报送学校有关部门审核备案，否则不得使用开放基金支付。 </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2、客座人员的学术活动费，按照泉州师范学院财务处的规定进行报销。 </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3、经检查如发现研究课题因故中断，无法继续进行，或获资助的研究课题在研究过程中与研究计划有重大偏离，且无正当理由时，经实验室主任批准后，可以中断该课题基金的使用或取消原批准的经费。</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4、本办法由重点实验室及校科研处负责解释，自公布之日起执行。</w:t>
      </w:r>
    </w:p>
    <w:p>
      <w:pPr>
        <w:rPr>
          <w:rFonts w:asciiTheme="minorEastAsia" w:hAnsiTheme="minorEastAsia" w:cstheme="minorEastAsia"/>
          <w:color w:val="000000"/>
          <w:spacing w:val="-9"/>
          <w:sz w:val="28"/>
          <w:szCs w:val="28"/>
          <w:shd w:val="clear" w:color="auto" w:fill="FFFFFF"/>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jc w:val="right"/>
        <w:rPr>
          <w:rFonts w:asciiTheme="minorEastAsia" w:hAnsiTheme="minorEastAsia" w:cstheme="minorEastAsia"/>
          <w:sz w:val="28"/>
          <w:szCs w:val="28"/>
        </w:rPr>
      </w:pPr>
      <w:r>
        <w:rPr>
          <w:rFonts w:hint="eastAsia" w:asciiTheme="minorEastAsia" w:hAnsiTheme="minorEastAsia" w:cstheme="minorEastAsia"/>
          <w:sz w:val="28"/>
          <w:szCs w:val="28"/>
        </w:rPr>
        <w:t>201</w:t>
      </w:r>
      <w:r>
        <w:rPr>
          <w:rFonts w:asciiTheme="minorEastAsia" w:hAnsiTheme="minorEastAsia" w:cstheme="minorEastAsia"/>
          <w:sz w:val="28"/>
          <w:szCs w:val="28"/>
        </w:rPr>
        <w:t>8</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月</w:t>
      </w:r>
      <w:r>
        <w:rPr>
          <w:rFonts w:asciiTheme="minorEastAsia" w:hAnsiTheme="minorEastAsia" w:cstheme="minorEastAsia"/>
          <w:sz w:val="28"/>
          <w:szCs w:val="28"/>
        </w:rPr>
        <w:t>1</w:t>
      </w:r>
      <w:r>
        <w:rPr>
          <w:rFonts w:hint="eastAsia" w:asciiTheme="minorEastAsia" w:hAnsiTheme="minorEastAsia" w:cstheme="minor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20CD4"/>
    <w:rsid w:val="001B5FA1"/>
    <w:rsid w:val="008659DB"/>
    <w:rsid w:val="009930AB"/>
    <w:rsid w:val="00CC7C79"/>
    <w:rsid w:val="00DE29E5"/>
    <w:rsid w:val="0D7E1724"/>
    <w:rsid w:val="23C5265C"/>
    <w:rsid w:val="45E2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3">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Words>
  <Characters>677</Characters>
  <Lines>5</Lines>
  <Paragraphs>1</Paragraphs>
  <TotalTime>2</TotalTime>
  <ScaleCrop>false</ScaleCrop>
  <LinksUpToDate>false</LinksUpToDate>
  <CharactersWithSpaces>794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2016-05-05T15:59:00Z</dcterms:created>
  <dc:creator>dex</dc:creator>
  <cp:lastModifiedBy>dex</cp:lastModifiedBy>
  <dcterms:modified xsi:type="dcterms:W3CDTF">2018-09-19T15:35:51Z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