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both"/>
        <w:textAlignment w:val="auto"/>
        <w:outlineLvl w:val="9"/>
        <w:rPr>
          <w:rFonts w:hint="eastAsia" w:ascii="宋体" w:hAnsi="宋体" w:eastAsia="宋体" w:cs="宋体"/>
          <w:sz w:val="32"/>
          <w:szCs w:val="32"/>
          <w:lang w:eastAsia="zh-CN"/>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w:t>
      </w:r>
      <w:r>
        <w:rPr>
          <w:rFonts w:hint="eastAsia" w:ascii="仿宋_GB2312" w:hAnsi="仿宋_GB2312" w:eastAsia="仿宋_GB2312" w:cs="仿宋_GB2312"/>
          <w:sz w:val="32"/>
          <w:szCs w:val="32"/>
          <w:lang w:eastAsia="zh-CN"/>
        </w:rPr>
        <w:t>安办</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49</w:t>
      </w:r>
      <w:r>
        <w:rPr>
          <w:rFonts w:hint="eastAsia" w:ascii="仿宋_GB2312" w:eastAsia="仿宋_GB2312"/>
          <w:sz w:val="32"/>
          <w:szCs w:val="32"/>
        </w:rPr>
        <w:t>号</w:t>
      </w:r>
    </w:p>
    <w:p>
      <w:pPr>
        <w:widowControl w:val="0"/>
        <w:wordWrap/>
        <w:adjustRightInd/>
        <w:snapToGrid/>
        <w:spacing w:before="0" w:after="0" w:line="560" w:lineRule="exact"/>
        <w:ind w:right="0"/>
        <w:jc w:val="both"/>
        <w:textAlignment w:val="auto"/>
        <w:outlineLvl w:val="9"/>
        <w:rPr>
          <w:rFonts w:hint="eastAsia" w:ascii="宋体" w:hAnsi="宋体" w:eastAsia="宋体" w:cs="宋体"/>
          <w:w w:val="95"/>
          <w:sz w:val="32"/>
          <w:szCs w:val="32"/>
          <w:lang w:eastAsia="zh-CN"/>
        </w:rPr>
      </w:pPr>
    </w:p>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泉州市安全生产委员会办公室关于开展危险化学品领域“控事故、保安全、迎建党百</w:t>
      </w:r>
    </w:p>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年”安全生产集中攻坚专项行动的通知</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pStyle w:val="6"/>
        <w:widowControl w:val="0"/>
        <w:wordWrap/>
        <w:adjustRightInd/>
        <w:snapToGrid/>
        <w:spacing w:before="0" w:after="0" w:line="560" w:lineRule="exact"/>
        <w:ind w:left="0" w:leftChars="0" w:right="0" w:firstLine="0" w:firstLineChars="0"/>
        <w:jc w:val="both"/>
        <w:textAlignment w:val="auto"/>
        <w:outlineLvl w:val="9"/>
        <w:rPr>
          <w:rFonts w:hint="eastAsia"/>
          <w:lang w:eastAsia="zh-CN"/>
        </w:rPr>
      </w:pPr>
      <w:r>
        <w:rPr>
          <w:rFonts w:hint="eastAsia"/>
          <w:lang w:eastAsia="zh-CN"/>
        </w:rPr>
        <w:t>各县（市、区）安全生产委员会，各有关单位：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深入学习贯彻习近平总书记关于安全生产重要论述和来闽考察时对安全生产工作的重要指示精神，认真贯彻落实《中共泉州市委办公室 泉州市人民政府办公室印发&lt;关于全面加强危险化学品安全生产工作的若干措施&gt;的通知》</w:t>
      </w:r>
      <w:r>
        <w:rPr>
          <w:rFonts w:hint="eastAsia" w:ascii="仿宋_GB2312" w:hAnsi="仿宋_GB2312" w:eastAsia="仿宋_GB2312" w:cs="仿宋_GB2312"/>
          <w:sz w:val="32"/>
          <w:szCs w:val="32"/>
          <w:lang w:eastAsia="zh-CN"/>
        </w:rPr>
        <w:t>（泉委办发〔2020〕49号），紧盯我市危险化学品领域安全痛点难点，</w:t>
      </w:r>
      <w:r>
        <w:rPr>
          <w:rFonts w:hint="eastAsia" w:ascii="仿宋_GB2312" w:hAnsi="仿宋_GB2312" w:eastAsia="仿宋_GB2312" w:cs="仿宋_GB2312"/>
          <w:sz w:val="32"/>
          <w:szCs w:val="32"/>
        </w:rPr>
        <w:t>扎实推进危险化学品安全专项整治三年行动集中攻坚，着力防范化解重大安全风险</w:t>
      </w:r>
      <w:r>
        <w:rPr>
          <w:rFonts w:hint="eastAsia" w:ascii="仿宋_GB2312" w:hAnsi="仿宋_GB2312" w:eastAsia="仿宋_GB2312" w:cs="仿宋_GB2312"/>
          <w:sz w:val="32"/>
          <w:szCs w:val="32"/>
          <w:lang w:eastAsia="zh-CN"/>
        </w:rPr>
        <w:t>，按照《泉州市安全生产委员会关于开展“控事故、保安全、迎建党百年”安全生产集中攻坚专项行动的通知》（泉安委〔2021〕10号）部署要求，自即日起至2021年7月底，在全市开展危险化学品领域“控事故、保安全、迎建党百年”安全生产集中攻坚专项行动。现就有关事项通知如下：</w:t>
      </w:r>
    </w:p>
    <w:p>
      <w:pPr>
        <w:widowControl w:val="0"/>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一、总体要求和目标</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控事故、保安全、迎建党百年”为主题，突出重点，强化攻坚，严防死守，通过集中攻坚专项行动，开展一批集中警示教育活动，整治一批安全事故隐患，处理曝光一批典型违法违规行为，取缔关闭一批非法违法和不符合安全生产条件企业单位，进一步提升全市危险化学品生产、经营、运输、使用、储存、废弃处置等全生命周期全环节安全整体风险防控能力，为庆祝建党100周年提供坚强的安全保障。</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二、工作任务</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紧盯我市危险化学品领域安全生产痛点难点，重点从以下几个方面开展集中攻坚专项行动：</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（一）开展重大危险源安全包保责任制“回头看”。</w:t>
      </w:r>
      <w:r>
        <w:rPr>
          <w:rFonts w:hint="eastAsia" w:ascii="仿宋_GB2312" w:hAnsi="仿宋_GB2312" w:eastAsia="仿宋_GB2312" w:cs="仿宋_GB2312"/>
          <w:sz w:val="32"/>
          <w:szCs w:val="32"/>
          <w:lang w:eastAsia="zh-CN"/>
        </w:rPr>
        <w:t>贯彻落实《福建省应急管理厅 福建省消防救援总队关于联合开展危险化学品重大危险源企业2021年第一次专项检查督导工作的通知》（闽应急</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32号</w:t>
      </w:r>
      <w:r>
        <w:rPr>
          <w:rFonts w:hint="eastAsia" w:ascii="仿宋_GB2312" w:hAnsi="仿宋_GB2312" w:eastAsia="仿宋_GB2312" w:cs="仿宋_GB2312"/>
          <w:sz w:val="32"/>
          <w:szCs w:val="32"/>
          <w:lang w:eastAsia="zh-CN"/>
        </w:rPr>
        <w:t>），要利用省内市际间交叉检查，完善固化“消地协作”联合监管机制，对</w:t>
      </w:r>
      <w:r>
        <w:rPr>
          <w:rFonts w:hint="eastAsia" w:ascii="仿宋_GB2312" w:hAnsi="仿宋_GB2312" w:eastAsia="仿宋_GB2312" w:cs="仿宋_GB2312"/>
          <w:sz w:val="32"/>
          <w:szCs w:val="32"/>
          <w:lang w:val="en-US" w:eastAsia="zh-CN"/>
        </w:rPr>
        <w:t>23家138处</w:t>
      </w:r>
      <w:r>
        <w:rPr>
          <w:rFonts w:hint="eastAsia" w:ascii="仿宋_GB2312" w:hAnsi="仿宋_GB2312" w:eastAsia="仿宋_GB2312" w:cs="仿宋_GB2312"/>
          <w:sz w:val="32"/>
          <w:szCs w:val="32"/>
          <w:lang w:eastAsia="zh-CN"/>
        </w:rPr>
        <w:t>重大危险源安全包保责任制落实情况开展“回头看”，真正督促企业将安全包保责任制纳入企业安全生产责任制体系中，从总体管理、技术管理、操作管理三个层面实行安全包保，保障重大危险源安全平稳运行。</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（二）集中开展安全警示教育。</w:t>
      </w:r>
      <w:r>
        <w:rPr>
          <w:rFonts w:hint="eastAsia" w:ascii="仿宋_GB2312" w:hAnsi="仿宋_GB2312" w:eastAsia="仿宋_GB2312" w:cs="仿宋_GB2312"/>
          <w:sz w:val="32"/>
          <w:szCs w:val="32"/>
          <w:lang w:eastAsia="zh-CN"/>
        </w:rPr>
        <w:t>紧盯“关键少数”，收集近年来发生的危险化学品典型事故案例，全面组织本辖区、本行业（领域）危险化学品从业单位主要负责人、安全和消防管理人员、实际控制人等开展一次集中安全警示教育活动。要聘请有实践经验的学者、专家等对案例进行专题宣讲并开展针对性的危险化学品安全培训。</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（三）开展安全隐患排查治理。</w:t>
      </w:r>
      <w:r>
        <w:rPr>
          <w:rFonts w:hint="eastAsia" w:ascii="仿宋_GB2312" w:hAnsi="仿宋_GB2312" w:eastAsia="仿宋_GB2312" w:cs="仿宋_GB2312"/>
          <w:sz w:val="32"/>
          <w:szCs w:val="32"/>
          <w:lang w:eastAsia="zh-CN"/>
        </w:rPr>
        <w:t>按照《危险化学品企业安全隐患排查治理实施导则》等要求，督促危险化学品生产经营单位从安全基础管理、设计总图和外部环境、试生产管理、装置运行、设备、仪表、人员资质等环节方面再次全面排查整治的事故隐患并制定整改方案，对于重大隐患依法上报有关监管部门并实施挂牌督办，经整改仍达不到安全生产条件的，依法予以关闭。要特别做好老旧设备摸排强化关键设备完整性管理，做好关键设备失效模式及后果影响分析。对运行不稳定、存在重大隐患的老旧装置和设备设施，该停用的要坚决停用。</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（四）做好在建项目安全风险防控。</w:t>
      </w:r>
      <w:r>
        <w:rPr>
          <w:rFonts w:hint="eastAsia" w:ascii="仿宋_GB2312" w:hAnsi="仿宋_GB2312" w:eastAsia="仿宋_GB2312" w:cs="仿宋_GB2312"/>
          <w:sz w:val="32"/>
          <w:szCs w:val="32"/>
          <w:lang w:eastAsia="zh-CN"/>
        </w:rPr>
        <w:t>进一步消除在建危险化学品建设项目安全监管盲区，形成多部门齐抓共管，组织对全市</w:t>
      </w:r>
      <w:r>
        <w:rPr>
          <w:rFonts w:hint="eastAsia" w:ascii="仿宋_GB2312" w:hAnsi="仿宋_GB2312" w:eastAsia="仿宋_GB2312" w:cs="仿宋_GB2312"/>
          <w:sz w:val="32"/>
          <w:szCs w:val="32"/>
          <w:lang w:val="en-US" w:eastAsia="zh-CN"/>
        </w:rPr>
        <w:t>19个重点</w:t>
      </w:r>
      <w:r>
        <w:rPr>
          <w:rFonts w:hint="eastAsia" w:ascii="仿宋_GB2312" w:hAnsi="仿宋_GB2312" w:eastAsia="仿宋_GB2312" w:cs="仿宋_GB2312"/>
          <w:sz w:val="32"/>
          <w:szCs w:val="32"/>
          <w:lang w:eastAsia="zh-CN"/>
        </w:rPr>
        <w:t>在建（包括已建设完成，进入试生产阶段，名单见附件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的危险化学品建设项目进行专门督导。督促企业做好统筹安排，确保施工建设科学有序，杜绝赶进度、疲劳作业。全面加强施工建设期间的各项管理，做好安全施工、文明施工。加强施工质量控制，对各装置、设备在施工安装过程中进行专业工程质量监督。严格依法依规履行试生产相关审查审核程序，杜绝违法违规投料试生产行为，确保危险化学品建设项目安全。</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（五）强化“非法违法”小化工整治。</w:t>
      </w:r>
      <w:r>
        <w:rPr>
          <w:rFonts w:hint="eastAsia" w:ascii="仿宋_GB2312" w:hAnsi="仿宋_GB2312" w:eastAsia="仿宋_GB2312" w:cs="仿宋_GB2312"/>
          <w:sz w:val="32"/>
          <w:szCs w:val="32"/>
          <w:lang w:eastAsia="zh-CN"/>
        </w:rPr>
        <w:t>持续做好“非法违法”小化工以及冠名“生物”“科技”“新材料”等企业摸排整治工作。应急、公安、交通运输、市场监管等部门要落实非法违法生产经营储存等突出问题的常态化联动打击机制，坚持打防结合，实现动态清零。</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（六）强化危险化学品运输安全监管。</w:t>
      </w:r>
      <w:r>
        <w:rPr>
          <w:rFonts w:hint="eastAsia" w:ascii="仿宋_GB2312" w:hAnsi="仿宋_GB2312" w:eastAsia="仿宋_GB2312" w:cs="仿宋_GB2312"/>
          <w:sz w:val="32"/>
          <w:szCs w:val="32"/>
          <w:lang w:val="en-US" w:eastAsia="zh-CN"/>
        </w:rPr>
        <w:t>持续做好托运、承运、装卸、车辆运行等危险化学品运输全链条安全监管。严禁无资质企业或超许可范围承运危险货物,做好危险货物运单电子化。抓好车辆运行期间车辆和驾驶人监控,严禁超速、疲劳驾驶和不按批准的线路、时间行驶。督促充装或装载危险化学品的生产、贮存、运输、使用和经营企业。建立健全并严格执行充装或者装载查验、记录制度,不得超量、超许可充装或装载危险货物。</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（七）提升重点县管理水平。</w:t>
      </w:r>
      <w:r>
        <w:rPr>
          <w:rFonts w:hint="eastAsia" w:ascii="仿宋_GB2312" w:hAnsi="仿宋_GB2312" w:eastAsia="仿宋_GB2312" w:cs="仿宋_GB2312"/>
          <w:sz w:val="32"/>
          <w:szCs w:val="32"/>
          <w:lang w:val="en-US" w:eastAsia="zh-CN"/>
        </w:rPr>
        <w:t>组织中国化学品安全协会对惠安县的企业开展“体检式”的安全诊断服务工作。持续做好对接国务院安委办专家指导服务开展专家指导服务对接，全面抓好专家指导服务发现隐患问题整治治理，严肃查处拒不整改和整改不及时不到位等违法违规行为。推进重点县之间开展交叉互检工作，促进共同提升管理水平。</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（八）严格化工园区安全风险管控。</w:t>
      </w:r>
      <w:r>
        <w:rPr>
          <w:rFonts w:hint="eastAsia" w:ascii="仿宋_GB2312" w:hAnsi="仿宋_GB2312" w:eastAsia="仿宋_GB2312" w:cs="仿宋_GB2312"/>
          <w:sz w:val="32"/>
          <w:szCs w:val="32"/>
          <w:lang w:val="en-US" w:eastAsia="zh-CN"/>
        </w:rPr>
        <w:t>按照“一园一策”原则，重点整治化工园区和危险化学品企业风险隐患排查“两个导则”不落实，化工园区未开展安全风险评估等问题。泉港石化园区氯碱片区要在搬迁关闭前严格落实安全管控措施，洋屿片区要在8月底前完成改造提升工作并落实限制性政策。对化工园区外的企业实施治理整顿，积极引导企业加快向园区转移和搬迁，抓好化工园区外22家危险化学品生产企业复核整改工作。</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（九）开展其他重点环节排查整治。</w:t>
      </w:r>
      <w:r>
        <w:rPr>
          <w:rFonts w:hint="eastAsia" w:ascii="仿宋_GB2312" w:hAnsi="仿宋_GB2312" w:eastAsia="仿宋_GB2312" w:cs="仿宋_GB2312"/>
          <w:sz w:val="32"/>
          <w:szCs w:val="32"/>
          <w:lang w:val="en-US" w:eastAsia="zh-CN"/>
        </w:rPr>
        <w:t>其他负有监管职责的部门要落实监管责任，按照“管行业必须管安全,管业务必须管安全,管生产经营必须管安全”的原则，开展危险化学品规划准入，使用储存危险化学品、油气管道、消防安全、特种设备、废弃危险化学品等行业（领域）、环节安全隐患排查整治和集中攻坚。做好“工业互联网+危化安全生产”试点建设工作。</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三、集中攻坚行动进度安排</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（一）即日起-5月31日。</w:t>
      </w:r>
      <w:r>
        <w:rPr>
          <w:rFonts w:hint="eastAsia" w:ascii="仿宋_GB2312" w:hAnsi="仿宋_GB2312" w:eastAsia="仿宋_GB2312" w:cs="仿宋_GB2312"/>
          <w:sz w:val="32"/>
          <w:szCs w:val="32"/>
          <w:lang w:val="en-US" w:eastAsia="zh-CN"/>
        </w:rPr>
        <w:t>广泛开展宣传发动，督促各企业单位落实主体责任，对表对照相关法律法规、规程规范和技术标准开展自查工作，查出的隐患分级分类落实整改，一般隐患立即落实整改到位，对一时无法完成整改的隐患，严格落实“五定”（定人员、定时间、定责任、定标准、定措施）制定整改方案。</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（二）6月1日-7月10日。</w:t>
      </w:r>
      <w:r>
        <w:rPr>
          <w:rFonts w:hint="eastAsia" w:ascii="仿宋_GB2312" w:hAnsi="仿宋_GB2312" w:eastAsia="仿宋_GB2312" w:cs="仿宋_GB2312"/>
          <w:sz w:val="32"/>
          <w:szCs w:val="32"/>
          <w:lang w:val="en-US" w:eastAsia="zh-CN"/>
        </w:rPr>
        <w:t>各级各负有监管职责部门(单位）采取“四不两直”方式，对重点生产经营等单位全覆盖检查。对存在问题是否依法落实“四个一律”“五个一批”要求，严厉打击、及时查处。</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（三）7月10日-7月31日。</w:t>
      </w:r>
      <w:r>
        <w:rPr>
          <w:rFonts w:hint="eastAsia" w:ascii="仿宋_GB2312" w:hAnsi="仿宋_GB2312" w:eastAsia="仿宋_GB2312" w:cs="仿宋_GB2312"/>
          <w:sz w:val="32"/>
          <w:szCs w:val="32"/>
          <w:lang w:val="en-US" w:eastAsia="zh-CN"/>
        </w:rPr>
        <w:t>及时总结集中攻坚专项行动工作的做法，补缺补漏及时纠正存在的不足和问题，对重大隐患依法进行挂牌督办，固化好的经验做法。完善常态化的安全风险防范化解长效机制。</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四、工作保障机制</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（一）落实全员开展隐患排查机制。</w:t>
      </w:r>
      <w:r>
        <w:rPr>
          <w:rFonts w:hint="eastAsia" w:ascii="仿宋_GB2312" w:hAnsi="仿宋_GB2312" w:eastAsia="仿宋_GB2312" w:cs="仿宋_GB2312"/>
          <w:sz w:val="32"/>
          <w:szCs w:val="32"/>
          <w:lang w:val="en-US" w:eastAsia="zh-CN"/>
        </w:rPr>
        <w:t xml:space="preserve">要立即动员全社会全员开展安全隐患排查，全面发动企业和单位从业人员积极参与安全隐患排查，推动隐患排查整治全员下沉抓落实，全面排查保安全。 </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（二）落实专家查隐患工作机制。</w:t>
      </w:r>
      <w:r>
        <w:rPr>
          <w:rFonts w:hint="eastAsia" w:ascii="仿宋_GB2312" w:hAnsi="仿宋_GB2312" w:eastAsia="仿宋_GB2312" w:cs="仿宋_GB2312"/>
          <w:sz w:val="32"/>
          <w:szCs w:val="32"/>
          <w:lang w:val="en-US" w:eastAsia="zh-CN"/>
        </w:rPr>
        <w:t>充实安全生产专家队伍，落实专家查隐患专项资金，健全完善“专家查隐患、企业抓好整改、部门督促销号”的工作机制。制定专家查隐患工作方案，在提高专家查隐患的深度和广度，落实“执法+专家”工作机制。</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（三）建立协调联动机制。</w:t>
      </w:r>
      <w:r>
        <w:rPr>
          <w:rFonts w:hint="eastAsia" w:ascii="仿宋_GB2312" w:hAnsi="仿宋_GB2312" w:eastAsia="仿宋_GB2312" w:cs="仿宋_GB2312"/>
          <w:sz w:val="32"/>
          <w:szCs w:val="32"/>
          <w:lang w:val="en-US" w:eastAsia="zh-CN"/>
        </w:rPr>
        <w:t>持续落实协调联动机制，每月定期召开联席会议协调解决工作的重大问题，利用福建省危险物品“一体化”安全监管信息平台组织开展行业联合执法，夯实“一体化”监管机制。</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（四）建立跟踪管控机制。</w:t>
      </w:r>
      <w:r>
        <w:rPr>
          <w:rFonts w:hint="eastAsia" w:ascii="仿宋_GB2312" w:hAnsi="仿宋_GB2312" w:eastAsia="仿宋_GB2312" w:cs="仿宋_GB2312"/>
          <w:sz w:val="32"/>
          <w:szCs w:val="32"/>
          <w:lang w:val="en-US" w:eastAsia="zh-CN"/>
        </w:rPr>
        <w:t>一是汇总收集各环节各类安全隐患及整改情况，分级分类列出清单，建立台账、对账销号，实行闭环管理。二是排查检查到的每条重大安全隐患，要会同专家全面分析研判，商量提出整改措施指导意见。对逾期不整改、不符合安全生产条件的企业单位，采取果断措施，该停产整顿的立即停产整顿，该关闭的督促地方立即予以关闭。</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（五）建立追责问责机制。</w:t>
      </w:r>
      <w:r>
        <w:rPr>
          <w:rFonts w:hint="eastAsia" w:ascii="仿宋_GB2312" w:hAnsi="仿宋_GB2312" w:eastAsia="仿宋_GB2312" w:cs="仿宋_GB2312"/>
          <w:sz w:val="32"/>
          <w:szCs w:val="32"/>
          <w:lang w:val="en-US" w:eastAsia="zh-CN"/>
        </w:rPr>
        <w:t>综合运用考核、约谈、通报、挂牌督办等方式，切实纠正大排查大整治过程中存在的推诿扯皮、责任悬空、纸上整改等问题。对整治工作中存在工作措施不力、虚以应付、拒不整改或问题仍然突出、问题出现反弹以及发生事故情况等的责任单位和责任人严肃追责问责并进行通报曝光。</w:t>
      </w:r>
    </w:p>
    <w:p>
      <w:pPr>
        <w:widowControl w:val="0"/>
        <w:numPr>
          <w:ilvl w:val="0"/>
          <w:numId w:val="0"/>
        </w:numPr>
        <w:wordWrap/>
        <w:adjustRightInd/>
        <w:snapToGrid/>
        <w:spacing w:before="0" w:after="0" w:line="56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（六）做好信息报送。</w:t>
      </w:r>
      <w:r>
        <w:rPr>
          <w:rFonts w:hint="eastAsia" w:ascii="仿宋_GB2312" w:hAnsi="仿宋_GB2312" w:eastAsia="仿宋_GB2312" w:cs="仿宋_GB2312"/>
          <w:sz w:val="32"/>
          <w:szCs w:val="32"/>
          <w:lang w:val="en-US" w:eastAsia="zh-CN"/>
        </w:rPr>
        <w:t>各级各有关部门（单位）要真正扛起危险化学品安全生产工作责任，明确专人及时收集集中攻坚专项行动情况（包括基本情况、存在主要问题隐患、需协调解决事项以及下一步工作打算等基本要素）和报表（见附件2-5）。按照要求于每月5日、15日、25日汇总梳理上报市安办。（联系人：小 陈 ；联系电话（传真）：0595-22171512；邮箱：</w:t>
      </w:r>
      <w:r>
        <w:rPr>
          <w:rFonts w:hint="default" w:ascii="Times New Roman" w:hAnsi="Times New Roman" w:eastAsia="仿宋_GB2312" w:cs="Times New Roman"/>
          <w:color w:val="auto"/>
          <w:sz w:val="32"/>
          <w:szCs w:val="32"/>
          <w:lang w:val="en-US" w:eastAsia="zh-CN"/>
        </w:rPr>
        <w:t>qzajwhk@126.com</w:t>
      </w:r>
      <w:r>
        <w:rPr>
          <w:rFonts w:hint="eastAsia" w:ascii="仿宋_GB2312" w:hAnsi="仿宋_GB2312" w:eastAsia="仿宋_GB2312" w:cs="仿宋_GB2312"/>
          <w:color w:val="auto"/>
          <w:sz w:val="32"/>
          <w:szCs w:val="32"/>
          <w:lang w:val="en-US" w:eastAsia="zh-CN"/>
        </w:rPr>
        <w:t>)</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3"/>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1.全市重点在建危险化学品建设项目名单</w:t>
      </w:r>
    </w:p>
    <w:p>
      <w:pPr>
        <w:pStyle w:val="3"/>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.泉州市危险化学品领域安全生产集中攻坚行</w:t>
      </w:r>
    </w:p>
    <w:p>
      <w:pPr>
        <w:pStyle w:val="3"/>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动工作情况表</w:t>
      </w:r>
    </w:p>
    <w:p>
      <w:pPr>
        <w:pStyle w:val="3"/>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.重大隐患填报表（累计数）</w:t>
      </w:r>
    </w:p>
    <w:p>
      <w:pPr>
        <w:pStyle w:val="3"/>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.执法检查及约谈、通报名单情况表（累计数）</w:t>
      </w:r>
    </w:p>
    <w:p>
      <w:pPr>
        <w:pStyle w:val="3"/>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5.各县（市、区）、各有关单位信息联络员名单</w:t>
      </w:r>
    </w:p>
    <w:p>
      <w:pPr>
        <w:spacing w:line="560" w:lineRule="exact"/>
        <w:rPr>
          <w:rFonts w:hint="eastAsia" w:ascii="方正小标宋简体" w:eastAsia="方正小标宋简体" w:cs="宋体"/>
          <w:sz w:val="44"/>
          <w:szCs w:val="44"/>
        </w:rPr>
      </w:pP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idowControl w:val="0"/>
        <w:numPr>
          <w:ilvl w:val="0"/>
          <w:numId w:val="0"/>
        </w:numPr>
        <w:wordWrap/>
        <w:adjustRightInd/>
        <w:snapToGrid/>
        <w:spacing w:before="0" w:after="0" w:line="560" w:lineRule="exact"/>
        <w:ind w:left="0" w:leftChars="0" w:right="0" w:firstLine="3840" w:firstLineChars="1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泉州市安全生产委员会办公室</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2021年5月21日  </w:t>
      </w:r>
      <w:bookmarkStart w:id="0" w:name="_GoBack"/>
      <w:bookmarkEnd w:id="0"/>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widowControl w:val="0"/>
        <w:numPr>
          <w:ilvl w:val="0"/>
          <w:numId w:val="0"/>
        </w:numPr>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各有关单位</w:t>
      </w:r>
    </w:p>
    <w:p>
      <w:pPr>
        <w:pStyle w:val="6"/>
        <w:ind w:left="0" w:leftChars="0" w:firstLine="0" w:firstLineChars="0"/>
        <w:rPr>
          <w:rFonts w:hint="eastAsia"/>
          <w:lang w:val="en-US" w:eastAsia="zh-CN"/>
        </w:rPr>
      </w:pPr>
    </w:p>
    <w:p>
      <w:pPr>
        <w:pStyle w:val="6"/>
        <w:ind w:left="0" w:leftChars="0" w:firstLine="0" w:firstLineChars="0"/>
        <w:rPr>
          <w:rFonts w:hint="eastAsia"/>
          <w:lang w:val="en-US" w:eastAsia="zh-CN"/>
        </w:rPr>
      </w:pPr>
      <w:r>
        <w:rPr>
          <w:rFonts w:hint="eastAsia"/>
          <w:lang w:val="en-US" w:eastAsia="zh-CN"/>
        </w:rPr>
        <w:t>市发改委、教育局、工信局、公安局、资源规划局、生态环境局、住建局、交通运输局、农业农村局、卫健委、应急局、市场监管局、城管局、交警支队，泉州市消防救援支队、</w:t>
      </w:r>
    </w:p>
    <w:p>
      <w:pPr>
        <w:pStyle w:val="6"/>
        <w:ind w:left="0" w:leftChars="0" w:firstLine="0" w:firstLineChars="0"/>
        <w:rPr>
          <w:rFonts w:hint="eastAsia"/>
          <w:lang w:val="en-US" w:eastAsia="zh-CN"/>
        </w:rPr>
      </w:pPr>
      <w:r>
        <w:rPr>
          <w:rFonts w:hint="eastAsia"/>
          <w:lang w:val="en-US" w:eastAsia="zh-CN"/>
        </w:rPr>
        <w:t>泉州海事局、泉州市邮政管理局、泉州高速交警支队、省泉州港口发展中心、省湄洲湾港口发展中心</w:t>
      </w: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00" w:lineRule="exact"/>
        <w:jc w:val="center"/>
        <w:rPr>
          <w:rFonts w:hint="eastAsia" w:ascii="方正小标宋简体" w:hAnsi="方正小标宋简体" w:eastAsia="方正小标宋简体" w:cs="方正小标宋简体"/>
          <w:b w:val="0"/>
          <w:bCs w:val="0"/>
          <w:sz w:val="44"/>
          <w:szCs w:val="44"/>
          <w:lang w:eastAsia="zh-CN"/>
        </w:rPr>
      </w:pPr>
    </w:p>
    <w:p>
      <w:pPr>
        <w:spacing w:line="5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全市重点在建危险化学品建设项目名单</w:t>
      </w:r>
    </w:p>
    <w:p>
      <w:pPr>
        <w:spacing w:line="500" w:lineRule="exact"/>
        <w:rPr>
          <w:rFonts w:ascii="仿宋_GB2312" w:hAnsi="仿宋_GB2312" w:eastAsia="仿宋_GB2312" w:cs="仿宋_GB2312"/>
          <w:b/>
          <w:bCs/>
          <w:sz w:val="32"/>
          <w:szCs w:val="32"/>
        </w:rPr>
      </w:pPr>
    </w:p>
    <w:tbl>
      <w:tblPr>
        <w:tblStyle w:val="7"/>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4147"/>
        <w:gridCol w:w="22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top"/>
          </w:tcPr>
          <w:p>
            <w:pPr>
              <w:spacing w:line="500" w:lineRule="exact"/>
              <w:rPr>
                <w:rFonts w:ascii="仿宋_GB2312" w:hAnsi="仿宋_GB2312" w:eastAsia="仿宋_GB2312" w:cs="仿宋_GB2312"/>
                <w:b/>
                <w:bCs/>
                <w:sz w:val="32"/>
                <w:szCs w:val="32"/>
              </w:rPr>
            </w:pPr>
            <w:r>
              <w:rPr>
                <w:rFonts w:ascii="仿宋_GB2312" w:hAnsi="仿宋_GB2312" w:eastAsia="仿宋_GB2312" w:cs="仿宋_GB2312"/>
                <w:b/>
                <w:bCs/>
                <w:sz w:val="32"/>
                <w:szCs w:val="32"/>
              </w:rPr>
              <w:t>序号</w:t>
            </w:r>
          </w:p>
        </w:tc>
        <w:tc>
          <w:tcPr>
            <w:tcW w:w="4147" w:type="dxa"/>
            <w:vAlign w:val="center"/>
          </w:tcPr>
          <w:p>
            <w:pPr>
              <w:spacing w:line="50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tc>
        <w:tc>
          <w:tcPr>
            <w:tcW w:w="2265" w:type="dxa"/>
            <w:vAlign w:val="center"/>
          </w:tcPr>
          <w:p>
            <w:pPr>
              <w:spacing w:line="50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地址</w:t>
            </w:r>
          </w:p>
        </w:tc>
        <w:tc>
          <w:tcPr>
            <w:tcW w:w="1380" w:type="dxa"/>
            <w:vAlign w:val="top"/>
          </w:tcPr>
          <w:p>
            <w:pPr>
              <w:spacing w:line="500" w:lineRule="exac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石大胜华（泉州）有限公司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福建恒力达新材料有限公司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泉州市丰鹏环保科技有限公司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试生产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福建省峻昌化工材料发展有限公司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5</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福建东峻化工有限公司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6</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福建嘉豪新材料科技有限公司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7</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信和新材料股份有限公司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Style w:val="9"/>
                <w:rFonts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color w:val="auto"/>
                <w:sz w:val="28"/>
                <w:szCs w:val="28"/>
              </w:rPr>
              <w:t>8</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color w:val="auto"/>
                <w:sz w:val="28"/>
                <w:szCs w:val="28"/>
              </w:rPr>
              <w:t>福建百宏石化</w:t>
            </w:r>
            <w:r>
              <w:rPr>
                <w:rFonts w:hint="eastAsia" w:ascii="仿宋_GB2312" w:hAnsi="仿宋_GB2312" w:eastAsia="仿宋_GB2312" w:cs="仿宋_GB2312"/>
                <w:b w:val="0"/>
                <w:bCs w:val="0"/>
                <w:color w:val="auto"/>
                <w:sz w:val="28"/>
                <w:szCs w:val="28"/>
              </w:rPr>
              <w:t>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试生产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9</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福建金鹏化工有限公司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val="en-US" w:eastAsia="zh-CN"/>
              </w:rPr>
              <w:t>0</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泉州市通用新材料科技有限公司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中化泉州石化有限公司二期乙烯项目</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福建联合石油化工有限公司（EOEG装置脱瓶颈改造项目）</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3</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福建联合石油化工有限公司（芳烃联合装置脱瓶颈项目）</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14</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博纯材料股份有限公司年产5</w:t>
            </w:r>
            <w:r>
              <w:rPr>
                <w:rFonts w:ascii="仿宋_GB2312" w:hAnsi="仿宋_GB2312" w:eastAsia="仿宋_GB2312" w:cs="仿宋_GB2312"/>
                <w:b w:val="0"/>
                <w:bCs w:val="0"/>
                <w:color w:val="auto"/>
                <w:sz w:val="28"/>
                <w:szCs w:val="28"/>
              </w:rPr>
              <w:t>0吨羰基硫项目</w:t>
            </w:r>
          </w:p>
        </w:tc>
        <w:tc>
          <w:tcPr>
            <w:tcW w:w="2265" w:type="dxa"/>
            <w:vAlign w:val="top"/>
          </w:tcPr>
          <w:p>
            <w:pPr>
              <w:spacing w:line="500" w:lineRule="exact"/>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永春县下洋镇</w:t>
            </w:r>
          </w:p>
        </w:tc>
        <w:tc>
          <w:tcPr>
            <w:tcW w:w="1380" w:type="dxa"/>
            <w:vAlign w:val="center"/>
          </w:tcPr>
          <w:p>
            <w:pPr>
              <w:spacing w:line="500" w:lineRule="exact"/>
              <w:jc w:val="center"/>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15</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ascii="仿宋_GB2312" w:hAnsi="仿宋_GB2312" w:eastAsia="仿宋_GB2312" w:cs="仿宋_GB2312"/>
                <w:b w:val="0"/>
                <w:bCs w:val="0"/>
                <w:color w:val="auto"/>
                <w:sz w:val="28"/>
                <w:szCs w:val="28"/>
              </w:rPr>
              <w:t>林德中化（泉州）气体有限公司</w:t>
            </w:r>
            <w:r>
              <w:rPr>
                <w:rFonts w:hint="eastAsia" w:ascii="仿宋_GB2312" w:hAnsi="仿宋_GB2312" w:eastAsia="仿宋_GB2312" w:cs="仿宋_GB2312"/>
                <w:b w:val="0"/>
                <w:bCs w:val="0"/>
                <w:color w:val="auto"/>
                <w:sz w:val="28"/>
                <w:szCs w:val="28"/>
                <w:lang w:eastAsia="zh-CN"/>
              </w:rPr>
              <w:t>（增加</w:t>
            </w:r>
            <w:r>
              <w:rPr>
                <w:rFonts w:hint="eastAsia" w:ascii="仿宋_GB2312" w:hAnsi="仿宋_GB2312" w:eastAsia="仿宋_GB2312" w:cs="仿宋_GB2312"/>
                <w:b w:val="0"/>
                <w:bCs w:val="0"/>
                <w:color w:val="auto"/>
                <w:sz w:val="28"/>
                <w:szCs w:val="28"/>
                <w:lang w:val="en-US" w:eastAsia="zh-CN"/>
              </w:rPr>
              <w:t>50m</w:t>
            </w:r>
            <w:r>
              <w:rPr>
                <w:rFonts w:hint="eastAsia" w:ascii="仿宋_GB2312" w:hAnsi="仿宋_GB2312" w:eastAsia="仿宋_GB2312" w:cs="仿宋_GB2312"/>
                <w:b w:val="0"/>
                <w:bCs w:val="0"/>
                <w:color w:val="auto"/>
                <w:sz w:val="28"/>
                <w:szCs w:val="28"/>
                <w:vertAlign w:val="superscript"/>
                <w:lang w:val="en-US" w:eastAsia="zh-CN"/>
              </w:rPr>
              <w:t>3</w:t>
            </w:r>
            <w:r>
              <w:rPr>
                <w:rFonts w:hint="eastAsia" w:ascii="仿宋_GB2312" w:hAnsi="仿宋_GB2312" w:eastAsia="仿宋_GB2312" w:cs="仿宋_GB2312"/>
                <w:b w:val="0"/>
                <w:bCs w:val="0"/>
                <w:color w:val="auto"/>
                <w:sz w:val="28"/>
                <w:szCs w:val="28"/>
                <w:lang w:val="en-US" w:eastAsia="zh-CN"/>
              </w:rPr>
              <w:t>液氮储罐）</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泉惠石化园区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16</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福建南安市成功气体有限公司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泉州南安市成功科技开发区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福建省天骄化学材料有限公司（二期）</w:t>
            </w:r>
          </w:p>
        </w:tc>
        <w:tc>
          <w:tcPr>
            <w:tcW w:w="2265" w:type="dxa"/>
            <w:vAlign w:val="top"/>
          </w:tcPr>
          <w:p>
            <w:pPr>
              <w:spacing w:line="500" w:lineRule="exact"/>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18</w:t>
            </w:r>
          </w:p>
        </w:tc>
        <w:tc>
          <w:tcPr>
            <w:tcW w:w="4147" w:type="dxa"/>
            <w:vAlign w:val="top"/>
          </w:tcPr>
          <w:p>
            <w:pPr>
              <w:spacing w:line="500" w:lineRule="exac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福建华星石化有限公司（增建液化石油气储罐项目）</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泉州市泉港区后龙镇上西村</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spacing w:line="5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19</w:t>
            </w:r>
          </w:p>
        </w:tc>
        <w:tc>
          <w:tcPr>
            <w:tcW w:w="4147"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泉州盛宝利化工有限公司</w:t>
            </w:r>
          </w:p>
        </w:tc>
        <w:tc>
          <w:tcPr>
            <w:tcW w:w="2265" w:type="dxa"/>
            <w:vAlign w:val="top"/>
          </w:tcPr>
          <w:p>
            <w:pPr>
              <w:spacing w:line="500" w:lineRule="exac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泉港石化园区</w:t>
            </w:r>
          </w:p>
        </w:tc>
        <w:tc>
          <w:tcPr>
            <w:tcW w:w="1380" w:type="dxa"/>
            <w:vAlign w:val="center"/>
          </w:tcPr>
          <w:p>
            <w:pPr>
              <w:spacing w:line="500" w:lineRule="exact"/>
              <w:jc w:val="center"/>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建设中</w:t>
            </w:r>
          </w:p>
        </w:tc>
      </w:tr>
    </w:tbl>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sectPr>
          <w:headerReference r:id="rId3" w:type="default"/>
          <w:footerReference r:id="rId5" w:type="default"/>
          <w:headerReference r:id="rId4" w:type="even"/>
          <w:footerReference r:id="rId6" w:type="even"/>
          <w:pgSz w:w="11906" w:h="16838"/>
          <w:pgMar w:top="1440" w:right="1803" w:bottom="1440" w:left="1803" w:header="850" w:footer="992" w:gutter="0"/>
          <w:pgNumType w:fmt="numberInDash"/>
          <w:cols w:space="720" w:num="1"/>
          <w:docGrid w:type="lines" w:linePitch="332" w:charSpace="0"/>
        </w:sectPr>
      </w:pPr>
    </w:p>
    <w:p>
      <w:pPr>
        <w:widowControl/>
        <w:spacing w:line="400" w:lineRule="exact"/>
        <w:jc w:val="left"/>
        <w:textAlignment w:val="top"/>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p>
    <w:p>
      <w:pPr>
        <w:widowControl/>
        <w:wordWrap/>
        <w:adjustRightInd/>
        <w:snapToGrid/>
        <w:spacing w:before="0" w:after="0" w:line="560" w:lineRule="exact"/>
        <w:ind w:left="0" w:leftChars="0" w:right="0" w:firstLine="0" w:firstLineChars="0"/>
        <w:jc w:val="center"/>
        <w:textAlignment w:val="top"/>
        <w:outlineLvl w:val="9"/>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泉州市危险化学品领域安全生产集中攻坚行动工作情况表</w:t>
      </w:r>
    </w:p>
    <w:p>
      <w:pPr>
        <w:widowControl/>
        <w:spacing w:line="400" w:lineRule="exact"/>
        <w:jc w:val="left"/>
        <w:textAlignment w:val="top"/>
        <w:rPr>
          <w:rFonts w:ascii="宋体" w:hAnsi="宋体" w:eastAsia="仿宋"/>
          <w:color w:val="000000"/>
          <w:kern w:val="0"/>
          <w:sz w:val="28"/>
          <w:szCs w:val="28"/>
        </w:rPr>
      </w:pPr>
      <w:r>
        <w:rPr>
          <w:rFonts w:ascii="宋体" w:hAnsi="宋体" w:eastAsia="仿宋"/>
          <w:color w:val="000000"/>
          <w:kern w:val="0"/>
          <w:sz w:val="28"/>
          <w:szCs w:val="28"/>
        </w:rPr>
        <w:t>填报单位：</w:t>
      </w:r>
    </w:p>
    <w:tbl>
      <w:tblPr>
        <w:tblStyle w:val="7"/>
        <w:tblW w:w="14290"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9"/>
        <w:gridCol w:w="521"/>
        <w:gridCol w:w="521"/>
        <w:gridCol w:w="521"/>
        <w:gridCol w:w="390"/>
        <w:gridCol w:w="390"/>
        <w:gridCol w:w="391"/>
        <w:gridCol w:w="390"/>
        <w:gridCol w:w="1"/>
        <w:gridCol w:w="339"/>
        <w:gridCol w:w="441"/>
        <w:gridCol w:w="391"/>
        <w:gridCol w:w="390"/>
        <w:gridCol w:w="548"/>
        <w:gridCol w:w="1"/>
        <w:gridCol w:w="649"/>
        <w:gridCol w:w="672"/>
        <w:gridCol w:w="661"/>
        <w:gridCol w:w="1"/>
        <w:gridCol w:w="547"/>
        <w:gridCol w:w="609"/>
        <w:gridCol w:w="548"/>
        <w:gridCol w:w="548"/>
        <w:gridCol w:w="547"/>
        <w:gridCol w:w="1"/>
        <w:gridCol w:w="510"/>
        <w:gridCol w:w="548"/>
        <w:gridCol w:w="480"/>
        <w:gridCol w:w="453"/>
        <w:gridCol w:w="494"/>
        <w:gridCol w:w="389"/>
        <w:gridCol w:w="1"/>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589" w:type="dxa"/>
            <w:tcBorders>
              <w:top w:val="single" w:color="000000" w:sz="8" w:space="0"/>
              <w:left w:val="single" w:color="000000" w:sz="8" w:space="0"/>
              <w:right w:val="single" w:color="000000" w:sz="8" w:space="0"/>
            </w:tcBorders>
            <w:tcMar>
              <w:top w:w="15" w:type="dxa"/>
              <w:left w:w="15" w:type="dxa"/>
              <w:right w:w="15" w:type="dxa"/>
            </w:tcMar>
            <w:vAlign w:val="top"/>
          </w:tcPr>
          <w:p>
            <w:pPr>
              <w:widowControl/>
              <w:spacing w:line="400" w:lineRule="exact"/>
              <w:jc w:val="center"/>
              <w:textAlignment w:val="center"/>
              <w:rPr>
                <w:rFonts w:ascii="宋体" w:hAnsi="宋体" w:eastAsia="仿宋"/>
                <w:color w:val="000000"/>
                <w:kern w:val="0"/>
                <w:sz w:val="18"/>
                <w:szCs w:val="18"/>
              </w:rPr>
            </w:pPr>
          </w:p>
        </w:tc>
        <w:tc>
          <w:tcPr>
            <w:tcW w:w="521"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生产经营单位开展</w:t>
            </w:r>
            <w:r>
              <w:rPr>
                <w:rFonts w:ascii="宋体" w:hAnsi="宋体" w:eastAsia="仿宋"/>
                <w:color w:val="000000"/>
                <w:kern w:val="0"/>
                <w:sz w:val="18"/>
                <w:szCs w:val="18"/>
              </w:rPr>
              <w:br w:type="textWrapping"/>
            </w:r>
            <w:r>
              <w:rPr>
                <w:rFonts w:ascii="宋体" w:hAnsi="宋体" w:eastAsia="仿宋"/>
                <w:color w:val="000000"/>
                <w:kern w:val="0"/>
                <w:sz w:val="18"/>
                <w:szCs w:val="18"/>
              </w:rPr>
              <w:t>自查企业总数</w:t>
            </w:r>
          </w:p>
        </w:tc>
        <w:tc>
          <w:tcPr>
            <w:tcW w:w="1432"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排查发现</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隐患数</w:t>
            </w:r>
          </w:p>
        </w:tc>
        <w:tc>
          <w:tcPr>
            <w:tcW w:w="1172"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已完成整改</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隐患数</w:t>
            </w:r>
          </w:p>
        </w:tc>
        <w:tc>
          <w:tcPr>
            <w:tcW w:w="2110" w:type="dxa"/>
            <w:gridSpan w:val="6"/>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部门监督</w:t>
            </w:r>
          </w:p>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检查组</w:t>
            </w:r>
          </w:p>
        </w:tc>
        <w:tc>
          <w:tcPr>
            <w:tcW w:w="1983" w:type="dxa"/>
            <w:gridSpan w:val="4"/>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监督检查</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发现隐患数</w:t>
            </w:r>
          </w:p>
        </w:tc>
        <w:tc>
          <w:tcPr>
            <w:tcW w:w="1704"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已完成整改</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隐患数</w:t>
            </w:r>
          </w:p>
        </w:tc>
        <w:tc>
          <w:tcPr>
            <w:tcW w:w="109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群众隐患举报</w:t>
            </w:r>
          </w:p>
        </w:tc>
        <w:tc>
          <w:tcPr>
            <w:tcW w:w="2875" w:type="dxa"/>
            <w:gridSpan w:val="7"/>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执法检查情况</w:t>
            </w:r>
          </w:p>
        </w:tc>
        <w:tc>
          <w:tcPr>
            <w:tcW w:w="80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hint="eastAsia" w:ascii="宋体" w:hAnsi="宋体" w:eastAsia="仿宋"/>
                <w:color w:val="000000"/>
                <w:kern w:val="0"/>
                <w:sz w:val="18"/>
                <w:szCs w:val="18"/>
                <w:lang w:eastAsia="zh-CN"/>
              </w:rPr>
            </w:pPr>
            <w:r>
              <w:rPr>
                <w:rFonts w:hint="eastAsia" w:ascii="宋体" w:hAnsi="宋体" w:eastAsia="仿宋"/>
                <w:color w:val="000000"/>
                <w:kern w:val="0"/>
                <w:sz w:val="18"/>
                <w:szCs w:val="18"/>
                <w:lang w:eastAsia="zh-CN"/>
              </w:rPr>
              <w:t>其他情况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8" w:hRule="atLeast"/>
        </w:trPr>
        <w:tc>
          <w:tcPr>
            <w:tcW w:w="589" w:type="dxa"/>
            <w:tcBorders>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jc w:val="center"/>
              <w:rPr>
                <w:rFonts w:hint="eastAsia" w:ascii="宋体" w:hAnsi="宋体" w:eastAsia="仿宋"/>
                <w:color w:val="000000"/>
                <w:sz w:val="18"/>
                <w:szCs w:val="18"/>
                <w:lang w:eastAsia="zh-CN"/>
              </w:rPr>
            </w:pPr>
            <w:r>
              <w:rPr>
                <w:rFonts w:hint="eastAsia" w:ascii="宋体" w:hAnsi="宋体" w:eastAsia="仿宋"/>
                <w:color w:val="000000"/>
                <w:sz w:val="18"/>
                <w:szCs w:val="18"/>
                <w:lang w:eastAsia="zh-CN"/>
              </w:rPr>
              <w:t>警示教育企业单位数量</w:t>
            </w:r>
          </w:p>
        </w:tc>
        <w:tc>
          <w:tcPr>
            <w:tcW w:w="521"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jc w:val="center"/>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总数</w:t>
            </w: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一</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般</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重大隐患</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总数</w:t>
            </w: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一</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般</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重</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大</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34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总数</w:t>
            </w:r>
          </w:p>
        </w:tc>
        <w:tc>
          <w:tcPr>
            <w:tcW w:w="44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sz w:val="18"/>
                <w:szCs w:val="18"/>
              </w:rPr>
              <w:t>其中执法服务</w:t>
            </w: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sz w:val="18"/>
                <w:szCs w:val="18"/>
              </w:rPr>
              <w:t>其中专家服务</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参</w:t>
            </w:r>
          </w:p>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加</w:t>
            </w:r>
          </w:p>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人</w:t>
            </w:r>
          </w:p>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员</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textAlignment w:val="center"/>
              <w:rPr>
                <w:rFonts w:ascii="宋体" w:hAnsi="宋体" w:eastAsia="仿宋"/>
                <w:color w:val="000000"/>
                <w:sz w:val="18"/>
                <w:szCs w:val="18"/>
              </w:rPr>
            </w:pPr>
            <w:r>
              <w:rPr>
                <w:rFonts w:ascii="宋体" w:hAnsi="宋体" w:eastAsia="仿宋"/>
                <w:color w:val="000000"/>
                <w:sz w:val="18"/>
                <w:szCs w:val="18"/>
              </w:rPr>
              <w:t>检查单位和场所</w:t>
            </w:r>
          </w:p>
        </w:tc>
        <w:tc>
          <w:tcPr>
            <w:tcW w:w="6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总数</w:t>
            </w:r>
          </w:p>
        </w:tc>
        <w:tc>
          <w:tcPr>
            <w:tcW w:w="67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一</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般</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66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重</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大</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总</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数</w:t>
            </w:r>
          </w:p>
        </w:tc>
        <w:tc>
          <w:tcPr>
            <w:tcW w:w="60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一</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般</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重</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大</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患</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隐</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患</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数</w:t>
            </w: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核</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实</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查</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处</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数</w:t>
            </w:r>
          </w:p>
        </w:tc>
        <w:tc>
          <w:tcPr>
            <w:tcW w:w="51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限期整改</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停产停业整改</w:t>
            </w:r>
          </w:p>
        </w:tc>
        <w:tc>
          <w:tcPr>
            <w:tcW w:w="4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取缔关闭</w:t>
            </w:r>
          </w:p>
        </w:tc>
        <w:tc>
          <w:tcPr>
            <w:tcW w:w="45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罚</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款</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企</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业</w:t>
            </w: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数</w:t>
            </w:r>
          </w:p>
        </w:tc>
        <w:tc>
          <w:tcPr>
            <w:tcW w:w="4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罚</w:t>
            </w: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款</w:t>
            </w:r>
          </w:p>
        </w:tc>
        <w:tc>
          <w:tcPr>
            <w:tcW w:w="390" w:type="dxa"/>
            <w:gridSpan w:val="2"/>
            <w:tcBorders>
              <w:top w:val="single" w:color="000000" w:sz="8" w:space="0"/>
              <w:left w:val="single" w:color="000000" w:sz="8" w:space="0"/>
              <w:bottom w:val="single" w:color="000000" w:sz="8" w:space="0"/>
              <w:right w:val="single" w:color="000000" w:sz="8" w:space="0"/>
            </w:tcBorders>
            <w:vAlign w:val="top"/>
          </w:tcPr>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其他行政处罚</w:t>
            </w:r>
          </w:p>
        </w:tc>
        <w:tc>
          <w:tcPr>
            <w:tcW w:w="808" w:type="dxa"/>
            <w:tcBorders>
              <w:top w:val="single" w:color="000000" w:sz="8" w:space="0"/>
              <w:left w:val="single" w:color="000000" w:sz="8" w:space="0"/>
              <w:bottom w:val="single" w:color="000000" w:sz="8" w:space="0"/>
              <w:right w:val="single" w:color="000000" w:sz="8" w:space="0"/>
            </w:tcBorders>
            <w:vAlign w:val="top"/>
          </w:tcPr>
          <w:p>
            <w:pPr>
              <w:widowControl/>
              <w:spacing w:line="400" w:lineRule="exact"/>
              <w:jc w:val="center"/>
              <w:textAlignment w:val="top"/>
              <w:rPr>
                <w:rFonts w:ascii="宋体" w:hAnsi="宋体" w:eastAsia="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5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4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44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6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7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6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0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1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5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gridSpan w:val="2"/>
            <w:tcBorders>
              <w:top w:val="single" w:color="000000" w:sz="8" w:space="0"/>
              <w:left w:val="single" w:color="000000" w:sz="8" w:space="0"/>
              <w:bottom w:val="single" w:color="000000" w:sz="8" w:space="0"/>
              <w:right w:val="single" w:color="000000" w:sz="8" w:space="0"/>
            </w:tcBorders>
            <w:vAlign w:val="top"/>
          </w:tcPr>
          <w:p>
            <w:pPr>
              <w:spacing w:line="400" w:lineRule="exact"/>
              <w:rPr>
                <w:rFonts w:ascii="宋体" w:hAnsi="宋体" w:eastAsia="仿宋"/>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vAlign w:val="top"/>
          </w:tcPr>
          <w:p>
            <w:pPr>
              <w:spacing w:line="400" w:lineRule="exact"/>
              <w:rPr>
                <w:rFonts w:ascii="宋体" w:hAnsi="宋体" w:eastAsia="仿宋"/>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5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4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44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400" w:lineRule="exact"/>
              <w:rPr>
                <w:rFonts w:ascii="宋体" w:hAnsi="宋体" w:eastAsia="仿宋"/>
                <w:color w:val="000000"/>
                <w:sz w:val="18"/>
                <w:szCs w:val="18"/>
              </w:rPr>
            </w:pPr>
          </w:p>
        </w:tc>
        <w:tc>
          <w:tcPr>
            <w:tcW w:w="6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7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6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60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1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5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4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spacing w:line="400" w:lineRule="exact"/>
              <w:rPr>
                <w:rFonts w:ascii="宋体" w:hAnsi="宋体" w:eastAsia="仿宋"/>
                <w:color w:val="000000"/>
                <w:sz w:val="18"/>
                <w:szCs w:val="18"/>
              </w:rPr>
            </w:pPr>
          </w:p>
        </w:tc>
        <w:tc>
          <w:tcPr>
            <w:tcW w:w="390" w:type="dxa"/>
            <w:gridSpan w:val="2"/>
            <w:tcBorders>
              <w:top w:val="single" w:color="000000" w:sz="8" w:space="0"/>
              <w:left w:val="single" w:color="000000" w:sz="8" w:space="0"/>
              <w:bottom w:val="single" w:color="000000" w:sz="8" w:space="0"/>
              <w:right w:val="single" w:color="000000" w:sz="8" w:space="0"/>
            </w:tcBorders>
            <w:vAlign w:val="top"/>
          </w:tcPr>
          <w:p>
            <w:pPr>
              <w:spacing w:line="400" w:lineRule="exact"/>
              <w:rPr>
                <w:rFonts w:ascii="宋体" w:hAnsi="宋体" w:eastAsia="仿宋"/>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vAlign w:val="top"/>
          </w:tcPr>
          <w:p>
            <w:pPr>
              <w:spacing w:line="400" w:lineRule="exact"/>
              <w:rPr>
                <w:rFonts w:ascii="宋体" w:hAnsi="宋体" w:eastAsia="仿宋"/>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5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widowControl/>
              <w:spacing w:line="400" w:lineRule="exact"/>
              <w:jc w:val="center"/>
              <w:textAlignment w:val="center"/>
              <w:rPr>
                <w:rFonts w:ascii="宋体" w:hAnsi="宋体" w:eastAsia="仿宋"/>
                <w:color w:val="000000"/>
                <w:kern w:val="0"/>
                <w:sz w:val="18"/>
                <w:szCs w:val="18"/>
              </w:rPr>
            </w:pPr>
          </w:p>
          <w:p>
            <w:pPr>
              <w:widowControl/>
              <w:spacing w:line="400" w:lineRule="exact"/>
              <w:jc w:val="center"/>
              <w:textAlignment w:val="center"/>
              <w:rPr>
                <w:rFonts w:ascii="宋体" w:hAnsi="宋体" w:eastAsia="仿宋"/>
                <w:color w:val="000000"/>
                <w:kern w:val="0"/>
                <w:sz w:val="18"/>
                <w:szCs w:val="18"/>
              </w:rPr>
            </w:pPr>
          </w:p>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（家）</w:t>
            </w: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kern w:val="0"/>
                <w:sz w:val="18"/>
                <w:szCs w:val="18"/>
              </w:rPr>
            </w:pPr>
          </w:p>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（家）</w:t>
            </w: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52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34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kern w:val="0"/>
                <w:sz w:val="18"/>
                <w:szCs w:val="18"/>
              </w:rPr>
            </w:pPr>
            <w:r>
              <w:rPr>
                <w:rFonts w:ascii="宋体" w:hAnsi="宋体" w:eastAsia="仿宋"/>
                <w:color w:val="000000"/>
                <w:kern w:val="0"/>
                <w:sz w:val="18"/>
                <w:szCs w:val="18"/>
              </w:rPr>
              <w:t>(个)</w:t>
            </w:r>
          </w:p>
        </w:tc>
        <w:tc>
          <w:tcPr>
            <w:tcW w:w="44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(个)</w:t>
            </w:r>
          </w:p>
        </w:tc>
        <w:tc>
          <w:tcPr>
            <w:tcW w:w="39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(个)</w:t>
            </w:r>
          </w:p>
        </w:tc>
        <w:tc>
          <w:tcPr>
            <w:tcW w:w="3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(人次)</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center"/>
              <w:rPr>
                <w:rFonts w:ascii="宋体" w:hAnsi="宋体" w:eastAsia="仿宋"/>
                <w:color w:val="000000"/>
                <w:kern w:val="0"/>
                <w:sz w:val="18"/>
                <w:szCs w:val="18"/>
              </w:rPr>
            </w:pPr>
          </w:p>
          <w:p>
            <w:pPr>
              <w:widowControl/>
              <w:spacing w:line="400" w:lineRule="exact"/>
              <w:jc w:val="center"/>
              <w:textAlignment w:val="center"/>
              <w:rPr>
                <w:rFonts w:ascii="宋体" w:hAnsi="宋体" w:eastAsia="仿宋"/>
                <w:color w:val="000000"/>
                <w:sz w:val="18"/>
                <w:szCs w:val="18"/>
              </w:rPr>
            </w:pPr>
            <w:r>
              <w:rPr>
                <w:rFonts w:ascii="宋体" w:hAnsi="宋体" w:eastAsia="仿宋"/>
                <w:color w:val="000000"/>
                <w:kern w:val="0"/>
                <w:sz w:val="18"/>
                <w:szCs w:val="18"/>
              </w:rPr>
              <w:t>（家）</w:t>
            </w:r>
          </w:p>
        </w:tc>
        <w:tc>
          <w:tcPr>
            <w:tcW w:w="6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67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661"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60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(项)</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spacing w:line="400" w:lineRule="exact"/>
              <w:jc w:val="center"/>
              <w:rPr>
                <w:rFonts w:ascii="宋体" w:hAnsi="宋体" w:eastAsia="仿宋"/>
                <w:color w:val="000000"/>
                <w:kern w:val="0"/>
                <w:sz w:val="18"/>
                <w:szCs w:val="18"/>
              </w:rPr>
            </w:pPr>
          </w:p>
          <w:p>
            <w:pPr>
              <w:spacing w:line="400" w:lineRule="exact"/>
              <w:jc w:val="center"/>
              <w:rPr>
                <w:rFonts w:ascii="宋体" w:hAnsi="宋体" w:eastAsia="仿宋"/>
                <w:color w:val="000000"/>
                <w:sz w:val="18"/>
                <w:szCs w:val="18"/>
              </w:rPr>
            </w:pPr>
            <w:r>
              <w:rPr>
                <w:rFonts w:ascii="宋体" w:hAnsi="宋体" w:eastAsia="仿宋"/>
                <w:color w:val="000000"/>
                <w:kern w:val="0"/>
                <w:sz w:val="18"/>
                <w:szCs w:val="18"/>
              </w:rPr>
              <w:t>(项)</w:t>
            </w:r>
          </w:p>
        </w:tc>
        <w:tc>
          <w:tcPr>
            <w:tcW w:w="54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spacing w:line="400" w:lineRule="exact"/>
              <w:jc w:val="center"/>
              <w:rPr>
                <w:rFonts w:ascii="宋体" w:hAnsi="宋体" w:eastAsia="仿宋"/>
                <w:color w:val="000000"/>
                <w:kern w:val="0"/>
                <w:sz w:val="18"/>
                <w:szCs w:val="18"/>
              </w:rPr>
            </w:pPr>
          </w:p>
          <w:p>
            <w:pPr>
              <w:spacing w:line="400" w:lineRule="exact"/>
              <w:jc w:val="center"/>
              <w:rPr>
                <w:rFonts w:ascii="宋体" w:hAnsi="宋体" w:eastAsia="仿宋"/>
                <w:color w:val="000000"/>
                <w:sz w:val="18"/>
                <w:szCs w:val="18"/>
              </w:rPr>
            </w:pPr>
            <w:r>
              <w:rPr>
                <w:rFonts w:ascii="宋体" w:hAnsi="宋体" w:eastAsia="仿宋"/>
                <w:color w:val="000000"/>
                <w:kern w:val="0"/>
                <w:sz w:val="18"/>
                <w:szCs w:val="18"/>
              </w:rPr>
              <w:t>(项)</w:t>
            </w:r>
          </w:p>
        </w:tc>
        <w:tc>
          <w:tcPr>
            <w:tcW w:w="51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(家)</w:t>
            </w:r>
          </w:p>
        </w:tc>
        <w:tc>
          <w:tcPr>
            <w:tcW w:w="5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(家)</w:t>
            </w:r>
          </w:p>
        </w:tc>
        <w:tc>
          <w:tcPr>
            <w:tcW w:w="48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(家)</w:t>
            </w:r>
          </w:p>
        </w:tc>
        <w:tc>
          <w:tcPr>
            <w:tcW w:w="45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sz w:val="18"/>
                <w:szCs w:val="18"/>
              </w:rPr>
            </w:pPr>
            <w:r>
              <w:rPr>
                <w:rFonts w:ascii="宋体" w:hAnsi="宋体" w:eastAsia="仿宋"/>
                <w:color w:val="000000"/>
                <w:kern w:val="0"/>
                <w:sz w:val="18"/>
                <w:szCs w:val="18"/>
              </w:rPr>
              <w:t>(家)</w:t>
            </w:r>
          </w:p>
        </w:tc>
        <w:tc>
          <w:tcPr>
            <w:tcW w:w="4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(万元)</w:t>
            </w:r>
          </w:p>
        </w:tc>
        <w:tc>
          <w:tcPr>
            <w:tcW w:w="390" w:type="dxa"/>
            <w:gridSpan w:val="2"/>
            <w:tcBorders>
              <w:top w:val="single" w:color="000000" w:sz="8" w:space="0"/>
              <w:left w:val="single" w:color="000000" w:sz="8" w:space="0"/>
              <w:bottom w:val="single" w:color="000000" w:sz="8" w:space="0"/>
              <w:right w:val="single" w:color="000000" w:sz="8" w:space="0"/>
            </w:tcBorders>
            <w:vAlign w:val="top"/>
          </w:tcPr>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kern w:val="0"/>
                <w:sz w:val="18"/>
                <w:szCs w:val="18"/>
              </w:rPr>
            </w:pPr>
          </w:p>
          <w:p>
            <w:pPr>
              <w:widowControl/>
              <w:spacing w:line="400" w:lineRule="exact"/>
              <w:jc w:val="center"/>
              <w:textAlignment w:val="top"/>
              <w:rPr>
                <w:rFonts w:ascii="宋体" w:hAnsi="宋体" w:eastAsia="仿宋"/>
                <w:color w:val="000000"/>
                <w:kern w:val="0"/>
                <w:sz w:val="18"/>
                <w:szCs w:val="18"/>
              </w:rPr>
            </w:pPr>
            <w:r>
              <w:rPr>
                <w:rFonts w:ascii="宋体" w:hAnsi="宋体" w:eastAsia="仿宋"/>
                <w:color w:val="000000"/>
                <w:kern w:val="0"/>
                <w:sz w:val="18"/>
                <w:szCs w:val="18"/>
              </w:rPr>
              <w:t>(家)</w:t>
            </w:r>
          </w:p>
        </w:tc>
        <w:tc>
          <w:tcPr>
            <w:tcW w:w="808" w:type="dxa"/>
            <w:tcBorders>
              <w:top w:val="single" w:color="000000" w:sz="8" w:space="0"/>
              <w:left w:val="single" w:color="000000" w:sz="8" w:space="0"/>
              <w:bottom w:val="single" w:color="000000" w:sz="8" w:space="0"/>
              <w:right w:val="single" w:color="000000" w:sz="8" w:space="0"/>
            </w:tcBorders>
            <w:vAlign w:val="top"/>
          </w:tcPr>
          <w:p>
            <w:pPr>
              <w:widowControl/>
              <w:spacing w:line="400" w:lineRule="exact"/>
              <w:jc w:val="center"/>
              <w:textAlignment w:val="top"/>
              <w:rPr>
                <w:rFonts w:ascii="宋体" w:hAnsi="宋体" w:eastAsia="仿宋"/>
                <w:color w:val="000000"/>
                <w:kern w:val="0"/>
                <w:sz w:val="18"/>
                <w:szCs w:val="18"/>
              </w:rPr>
            </w:pPr>
          </w:p>
        </w:tc>
      </w:tr>
    </w:tbl>
    <w:p>
      <w:pPr>
        <w:spacing w:line="400" w:lineRule="exact"/>
        <w:rPr>
          <w:rFonts w:ascii="宋体" w:hAnsi="宋体" w:eastAsia="仿宋"/>
          <w:sz w:val="24"/>
        </w:rPr>
      </w:pPr>
      <w:r>
        <w:rPr>
          <w:rFonts w:ascii="宋体" w:hAnsi="宋体" w:eastAsia="仿宋"/>
          <w:sz w:val="24"/>
        </w:rPr>
        <w:t>审核人：              填报人：                   联系电话：                                202</w:t>
      </w:r>
      <w:r>
        <w:rPr>
          <w:rFonts w:hint="eastAsia" w:ascii="宋体" w:hAnsi="宋体" w:eastAsia="仿宋"/>
          <w:sz w:val="24"/>
          <w:lang w:val="en-US" w:eastAsia="zh-CN"/>
        </w:rPr>
        <w:t>1</w:t>
      </w:r>
      <w:r>
        <w:rPr>
          <w:rFonts w:ascii="宋体" w:hAnsi="宋体" w:eastAsia="仿宋"/>
          <w:sz w:val="24"/>
        </w:rPr>
        <w:t>年  月  日</w:t>
      </w:r>
    </w:p>
    <w:p>
      <w:pPr>
        <w:spacing w:line="400" w:lineRule="exact"/>
        <w:rPr>
          <w:rFonts w:ascii="宋体" w:hAnsi="宋体" w:eastAsia="仿宋"/>
          <w:sz w:val="44"/>
          <w:szCs w:val="44"/>
        </w:rPr>
      </w:pPr>
      <w:r>
        <w:rPr>
          <w:rFonts w:ascii="宋体" w:hAnsi="宋体" w:eastAsia="仿宋"/>
          <w:sz w:val="24"/>
        </w:rPr>
        <w:t>注：1.</w:t>
      </w:r>
      <w:r>
        <w:rPr>
          <w:rFonts w:hint="eastAsia" w:ascii="宋体" w:hAnsi="宋体" w:eastAsia="仿宋"/>
          <w:sz w:val="24"/>
        </w:rPr>
        <w:t>危险化学品领域安全生产集中攻坚行动</w:t>
      </w:r>
      <w:r>
        <w:rPr>
          <w:rFonts w:ascii="宋体" w:hAnsi="宋体" w:eastAsia="仿宋"/>
          <w:sz w:val="24"/>
        </w:rPr>
        <w:t>具体情况请填入下表，以便汇总统计</w:t>
      </w:r>
      <w:r>
        <w:rPr>
          <w:rFonts w:hint="eastAsia" w:ascii="宋体" w:hAnsi="宋体" w:eastAsia="仿宋"/>
          <w:sz w:val="24"/>
          <w:lang w:eastAsia="zh-CN"/>
        </w:rPr>
        <w:t>。于每月5日、15日、25日汇总梳理上报。</w:t>
      </w:r>
    </w:p>
    <w:p>
      <w:pPr>
        <w:pStyle w:val="3"/>
        <w:spacing w:line="400" w:lineRule="exact"/>
        <w:ind w:firstLine="480" w:firstLineChars="200"/>
        <w:rPr>
          <w:rFonts w:ascii="宋体" w:hAnsi="宋体" w:eastAsia="仿宋"/>
          <w:sz w:val="24"/>
          <w:szCs w:val="24"/>
        </w:rPr>
      </w:pPr>
      <w:r>
        <w:rPr>
          <w:rFonts w:ascii="宋体" w:hAnsi="宋体" w:eastAsia="仿宋"/>
          <w:sz w:val="24"/>
          <w:szCs w:val="24"/>
        </w:rPr>
        <w:t>2.各</w:t>
      </w:r>
      <w:r>
        <w:rPr>
          <w:rFonts w:hint="eastAsia" w:ascii="宋体" w:hAnsi="宋体" w:eastAsia="仿宋"/>
          <w:sz w:val="24"/>
          <w:szCs w:val="24"/>
        </w:rPr>
        <w:t>部门</w:t>
      </w:r>
      <w:r>
        <w:rPr>
          <w:rFonts w:ascii="宋体" w:hAnsi="宋体" w:eastAsia="仿宋"/>
          <w:sz w:val="24"/>
          <w:szCs w:val="24"/>
        </w:rPr>
        <w:t>负责统计所</w:t>
      </w:r>
      <w:r>
        <w:rPr>
          <w:rFonts w:hint="eastAsia" w:ascii="宋体" w:hAnsi="宋体" w:eastAsia="仿宋"/>
          <w:sz w:val="24"/>
          <w:szCs w:val="24"/>
        </w:rPr>
        <w:t>负责</w:t>
      </w:r>
      <w:r>
        <w:rPr>
          <w:rFonts w:ascii="宋体" w:hAnsi="宋体" w:eastAsia="仿宋"/>
          <w:sz w:val="24"/>
          <w:szCs w:val="24"/>
        </w:rPr>
        <w:t>行业</w:t>
      </w:r>
      <w:r>
        <w:rPr>
          <w:rFonts w:hint="eastAsia" w:ascii="宋体" w:hAnsi="宋体" w:eastAsia="仿宋"/>
          <w:sz w:val="24"/>
          <w:szCs w:val="24"/>
        </w:rPr>
        <w:t>、区域（领域）</w:t>
      </w:r>
      <w:r>
        <w:rPr>
          <w:rFonts w:hint="eastAsia" w:ascii="宋体" w:hAnsi="宋体" w:eastAsia="仿宋"/>
          <w:sz w:val="24"/>
          <w:szCs w:val="24"/>
          <w:lang w:eastAsia="zh-CN"/>
        </w:rPr>
        <w:t>和环节等</w:t>
      </w:r>
      <w:r>
        <w:rPr>
          <w:rFonts w:ascii="宋体" w:hAnsi="宋体" w:eastAsia="仿宋"/>
          <w:sz w:val="24"/>
          <w:szCs w:val="24"/>
        </w:rPr>
        <w:t>本级、下属事业单位及央属、省属、市属企业的大排查大整治情况，避免重复统计。</w:t>
      </w:r>
    </w:p>
    <w:p>
      <w:pPr>
        <w:wordWrap w:val="0"/>
        <w:spacing w:line="600" w:lineRule="exact"/>
        <w:ind w:firstLine="648"/>
        <w:rPr>
          <w:rFonts w:ascii="宋体" w:hAnsi="宋体" w:eastAsia="方正仿宋简体" w:cs="仿宋_GB2312"/>
        </w:rPr>
        <w:sectPr>
          <w:pgSz w:w="16838" w:h="11906" w:orient="landscape"/>
          <w:pgMar w:top="1803" w:right="1440" w:bottom="1803" w:left="1440" w:header="850" w:footer="992" w:gutter="0"/>
          <w:pgNumType w:fmt="numberInDash"/>
          <w:cols w:space="720" w:num="1"/>
          <w:docGrid w:type="lines" w:linePitch="332" w:charSpace="0"/>
        </w:sectPr>
      </w:pPr>
    </w:p>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600" w:lineRule="exact"/>
        <w:jc w:val="left"/>
        <w:rPr>
          <w:rFonts w:hint="eastAsia" w:ascii="宋体" w:hAnsi="宋体" w:eastAsia="方正黑体简体"/>
          <w:szCs w:val="32"/>
        </w:rPr>
      </w:pPr>
    </w:p>
    <w:p>
      <w:pPr>
        <w:spacing w:line="600" w:lineRule="exact"/>
        <w:jc w:val="center"/>
        <w:rPr>
          <w:rFonts w:ascii="宋体" w:hAnsi="宋体" w:eastAsia="方正小标宋简体"/>
          <w:sz w:val="44"/>
          <w:szCs w:val="44"/>
        </w:rPr>
      </w:pPr>
      <w:r>
        <w:rPr>
          <w:rFonts w:ascii="宋体" w:hAnsi="宋体" w:eastAsia="方正小标宋简体"/>
          <w:sz w:val="44"/>
          <w:szCs w:val="44"/>
        </w:rPr>
        <w:t>重大隐患填报表（累计数）</w:t>
      </w:r>
    </w:p>
    <w:p>
      <w:pPr>
        <w:pStyle w:val="3"/>
        <w:spacing w:line="600" w:lineRule="exact"/>
        <w:rPr>
          <w:rFonts w:ascii="宋体" w:hAnsi="宋体"/>
          <w:sz w:val="44"/>
          <w:szCs w:val="44"/>
        </w:rPr>
      </w:pPr>
    </w:p>
    <w:tbl>
      <w:tblPr>
        <w:tblStyle w:val="7"/>
        <w:tblW w:w="8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595"/>
        <w:gridCol w:w="2250"/>
        <w:gridCol w:w="150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top"/>
          </w:tcPr>
          <w:p>
            <w:pPr>
              <w:pStyle w:val="3"/>
              <w:spacing w:line="600" w:lineRule="exact"/>
              <w:jc w:val="center"/>
              <w:rPr>
                <w:rFonts w:ascii="方正黑体简体" w:hAnsi="宋体" w:eastAsia="方正黑体简体"/>
                <w:sz w:val="32"/>
                <w:szCs w:val="32"/>
              </w:rPr>
            </w:pPr>
            <w:r>
              <w:rPr>
                <w:rFonts w:ascii="方正黑体简体" w:hAnsi="宋体" w:eastAsia="方正黑体简体"/>
                <w:sz w:val="32"/>
                <w:szCs w:val="32"/>
              </w:rPr>
              <w:t>序号</w:t>
            </w:r>
          </w:p>
        </w:tc>
        <w:tc>
          <w:tcPr>
            <w:tcW w:w="1595" w:type="dxa"/>
            <w:vAlign w:val="top"/>
          </w:tcPr>
          <w:p>
            <w:pPr>
              <w:pStyle w:val="3"/>
              <w:spacing w:line="600" w:lineRule="exact"/>
              <w:jc w:val="center"/>
              <w:rPr>
                <w:rFonts w:ascii="方正黑体简体" w:hAnsi="宋体" w:eastAsia="方正黑体简体"/>
                <w:sz w:val="32"/>
                <w:szCs w:val="32"/>
              </w:rPr>
            </w:pPr>
            <w:r>
              <w:rPr>
                <w:rFonts w:ascii="方正黑体简体" w:hAnsi="宋体" w:eastAsia="方正黑体简体"/>
                <w:sz w:val="32"/>
                <w:szCs w:val="32"/>
              </w:rPr>
              <w:t>企业名单</w:t>
            </w:r>
          </w:p>
        </w:tc>
        <w:tc>
          <w:tcPr>
            <w:tcW w:w="2250" w:type="dxa"/>
            <w:vAlign w:val="top"/>
          </w:tcPr>
          <w:p>
            <w:pPr>
              <w:pStyle w:val="3"/>
              <w:spacing w:line="600" w:lineRule="exact"/>
              <w:jc w:val="center"/>
              <w:rPr>
                <w:rFonts w:ascii="方正黑体简体" w:hAnsi="宋体" w:eastAsia="方正黑体简体"/>
                <w:sz w:val="32"/>
                <w:szCs w:val="32"/>
              </w:rPr>
            </w:pPr>
            <w:r>
              <w:rPr>
                <w:rFonts w:ascii="方正黑体简体" w:hAnsi="宋体" w:eastAsia="方正黑体简体"/>
                <w:sz w:val="32"/>
                <w:szCs w:val="32"/>
              </w:rPr>
              <w:t>重大隐患情况</w:t>
            </w:r>
          </w:p>
        </w:tc>
        <w:tc>
          <w:tcPr>
            <w:tcW w:w="1509" w:type="dxa"/>
            <w:vAlign w:val="top"/>
          </w:tcPr>
          <w:p>
            <w:pPr>
              <w:pStyle w:val="3"/>
              <w:spacing w:line="600" w:lineRule="exact"/>
              <w:jc w:val="center"/>
              <w:rPr>
                <w:rFonts w:ascii="方正黑体简体" w:hAnsi="宋体" w:eastAsia="方正黑体简体"/>
                <w:sz w:val="32"/>
                <w:szCs w:val="32"/>
              </w:rPr>
            </w:pPr>
            <w:r>
              <w:rPr>
                <w:rFonts w:ascii="方正黑体简体" w:hAnsi="宋体" w:eastAsia="方正黑体简体"/>
                <w:sz w:val="32"/>
                <w:szCs w:val="32"/>
              </w:rPr>
              <w:t>整改情况/整改措施</w:t>
            </w:r>
          </w:p>
        </w:tc>
        <w:tc>
          <w:tcPr>
            <w:tcW w:w="2010" w:type="dxa"/>
            <w:vAlign w:val="top"/>
          </w:tcPr>
          <w:p>
            <w:pPr>
              <w:pStyle w:val="3"/>
              <w:spacing w:line="600" w:lineRule="exact"/>
              <w:jc w:val="center"/>
              <w:rPr>
                <w:rFonts w:ascii="方正黑体简体" w:hAnsi="宋体" w:eastAsia="方正黑体简体"/>
                <w:sz w:val="32"/>
                <w:szCs w:val="32"/>
              </w:rPr>
            </w:pPr>
            <w:r>
              <w:rPr>
                <w:rFonts w:ascii="方正黑体简体" w:hAnsi="宋体" w:eastAsia="方正黑体简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top"/>
          </w:tcPr>
          <w:p>
            <w:pPr>
              <w:pStyle w:val="3"/>
              <w:spacing w:line="600" w:lineRule="exact"/>
              <w:rPr>
                <w:rFonts w:ascii="宋体" w:hAnsi="宋体" w:eastAsia="仿宋"/>
                <w:sz w:val="32"/>
                <w:szCs w:val="32"/>
              </w:rPr>
            </w:pPr>
          </w:p>
        </w:tc>
        <w:tc>
          <w:tcPr>
            <w:tcW w:w="1595" w:type="dxa"/>
            <w:vAlign w:val="top"/>
          </w:tcPr>
          <w:p>
            <w:pPr>
              <w:pStyle w:val="3"/>
              <w:spacing w:line="600" w:lineRule="exact"/>
              <w:rPr>
                <w:rFonts w:ascii="宋体" w:hAnsi="宋体" w:eastAsia="仿宋"/>
                <w:sz w:val="32"/>
                <w:szCs w:val="32"/>
              </w:rPr>
            </w:pPr>
          </w:p>
        </w:tc>
        <w:tc>
          <w:tcPr>
            <w:tcW w:w="2250" w:type="dxa"/>
            <w:vAlign w:val="top"/>
          </w:tcPr>
          <w:p>
            <w:pPr>
              <w:pStyle w:val="3"/>
              <w:spacing w:line="600" w:lineRule="exact"/>
              <w:rPr>
                <w:rFonts w:ascii="宋体" w:hAnsi="宋体" w:eastAsia="仿宋"/>
                <w:sz w:val="32"/>
                <w:szCs w:val="32"/>
              </w:rPr>
            </w:pPr>
          </w:p>
        </w:tc>
        <w:tc>
          <w:tcPr>
            <w:tcW w:w="1509" w:type="dxa"/>
            <w:vAlign w:val="top"/>
          </w:tcPr>
          <w:p>
            <w:pPr>
              <w:pStyle w:val="3"/>
              <w:spacing w:line="600" w:lineRule="exact"/>
              <w:rPr>
                <w:rFonts w:ascii="宋体" w:hAnsi="宋体" w:eastAsia="仿宋"/>
                <w:sz w:val="32"/>
                <w:szCs w:val="32"/>
              </w:rPr>
            </w:pPr>
          </w:p>
        </w:tc>
        <w:tc>
          <w:tcPr>
            <w:tcW w:w="2010" w:type="dxa"/>
            <w:vAlign w:val="top"/>
          </w:tcPr>
          <w:p>
            <w:pPr>
              <w:pStyle w:val="3"/>
              <w:spacing w:line="600" w:lineRule="exact"/>
              <w:rPr>
                <w:rFonts w:ascii="宋体" w:hAnsi="宋体" w:eastAsia="仿宋"/>
                <w:sz w:val="32"/>
                <w:szCs w:val="32"/>
              </w:rPr>
            </w:pPr>
            <w:r>
              <w:rPr>
                <w:rFonts w:ascii="宋体" w:hAnsi="宋体" w:eastAsia="仿宋"/>
                <w:sz w:val="32"/>
                <w:szCs w:val="32"/>
              </w:rPr>
              <w:t>整改完成/</w:t>
            </w:r>
          </w:p>
          <w:p>
            <w:pPr>
              <w:pStyle w:val="3"/>
              <w:spacing w:line="600" w:lineRule="exact"/>
              <w:rPr>
                <w:rFonts w:ascii="宋体" w:hAnsi="宋体" w:eastAsia="仿宋"/>
                <w:sz w:val="32"/>
                <w:szCs w:val="32"/>
              </w:rPr>
            </w:pPr>
            <w:r>
              <w:rPr>
                <w:rFonts w:ascii="宋体" w:hAnsi="宋体" w:eastAsia="仿宋"/>
                <w:sz w:val="32"/>
                <w:szCs w:val="32"/>
              </w:rPr>
              <w:t>正在整改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065" w:type="dxa"/>
            <w:vAlign w:val="top"/>
          </w:tcPr>
          <w:p>
            <w:pPr>
              <w:pStyle w:val="3"/>
              <w:spacing w:line="600" w:lineRule="exact"/>
              <w:rPr>
                <w:rFonts w:ascii="宋体" w:hAnsi="宋体"/>
                <w:sz w:val="44"/>
                <w:szCs w:val="44"/>
              </w:rPr>
            </w:pPr>
          </w:p>
        </w:tc>
        <w:tc>
          <w:tcPr>
            <w:tcW w:w="1595" w:type="dxa"/>
            <w:vAlign w:val="top"/>
          </w:tcPr>
          <w:p>
            <w:pPr>
              <w:pStyle w:val="3"/>
              <w:spacing w:line="600" w:lineRule="exact"/>
              <w:rPr>
                <w:rFonts w:ascii="宋体" w:hAnsi="宋体"/>
                <w:sz w:val="44"/>
                <w:szCs w:val="44"/>
              </w:rPr>
            </w:pPr>
          </w:p>
        </w:tc>
        <w:tc>
          <w:tcPr>
            <w:tcW w:w="2250" w:type="dxa"/>
            <w:vAlign w:val="top"/>
          </w:tcPr>
          <w:p>
            <w:pPr>
              <w:pStyle w:val="3"/>
              <w:spacing w:line="600" w:lineRule="exact"/>
              <w:rPr>
                <w:rFonts w:ascii="宋体" w:hAnsi="宋体"/>
                <w:sz w:val="44"/>
                <w:szCs w:val="44"/>
              </w:rPr>
            </w:pPr>
          </w:p>
        </w:tc>
        <w:tc>
          <w:tcPr>
            <w:tcW w:w="1509" w:type="dxa"/>
            <w:vAlign w:val="top"/>
          </w:tcPr>
          <w:p>
            <w:pPr>
              <w:pStyle w:val="3"/>
              <w:spacing w:line="600" w:lineRule="exact"/>
              <w:rPr>
                <w:rFonts w:ascii="宋体" w:hAnsi="宋体"/>
                <w:sz w:val="44"/>
                <w:szCs w:val="44"/>
              </w:rPr>
            </w:pPr>
          </w:p>
        </w:tc>
        <w:tc>
          <w:tcPr>
            <w:tcW w:w="2010" w:type="dxa"/>
            <w:vAlign w:val="top"/>
          </w:tcPr>
          <w:p>
            <w:pPr>
              <w:pStyle w:val="3"/>
              <w:spacing w:line="600" w:lineRule="exact"/>
              <w:rPr>
                <w:rFonts w:ascii="宋体" w:hAnsi="宋体"/>
                <w:sz w:val="44"/>
                <w:szCs w:val="44"/>
              </w:rPr>
            </w:pPr>
          </w:p>
        </w:tc>
      </w:tr>
    </w:tbl>
    <w:p>
      <w:pPr>
        <w:pStyle w:val="3"/>
        <w:spacing w:line="600" w:lineRule="exact"/>
        <w:rPr>
          <w:rFonts w:ascii="宋体" w:hAnsi="宋体"/>
          <w:sz w:val="44"/>
          <w:szCs w:val="44"/>
        </w:rPr>
      </w:pPr>
      <w:r>
        <w:rPr>
          <w:rFonts w:hint="eastAsia" w:ascii="宋体" w:hAnsi="宋体" w:eastAsia="仿宋"/>
          <w:sz w:val="24"/>
          <w:lang w:eastAsia="zh-CN"/>
        </w:rPr>
        <w:t>请于每月5日、15日、25日汇总梳理上报。</w:t>
      </w: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ascii="宋体" w:hAnsi="宋体"/>
          <w:sz w:val="44"/>
          <w:szCs w:val="44"/>
        </w:rPr>
      </w:pPr>
    </w:p>
    <w:p>
      <w:pPr>
        <w:pStyle w:val="3"/>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3"/>
        <w:spacing w:line="600" w:lineRule="exact"/>
        <w:rPr>
          <w:rFonts w:hint="eastAsia" w:ascii="宋体" w:hAnsi="宋体" w:eastAsia="方正黑体简体"/>
          <w:sz w:val="32"/>
          <w:szCs w:val="32"/>
        </w:rPr>
      </w:pPr>
    </w:p>
    <w:p>
      <w:pPr>
        <w:spacing w:line="600" w:lineRule="exact"/>
        <w:jc w:val="center"/>
        <w:rPr>
          <w:rFonts w:ascii="宋体" w:hAnsi="宋体" w:eastAsia="方正小标宋简体"/>
          <w:sz w:val="44"/>
          <w:szCs w:val="44"/>
        </w:rPr>
      </w:pPr>
      <w:r>
        <w:rPr>
          <w:rFonts w:hint="eastAsia" w:ascii="宋体" w:hAnsi="宋体"/>
          <w:sz w:val="44"/>
          <w:szCs w:val="44"/>
        </w:rPr>
        <w:t xml:space="preserve"> </w:t>
      </w:r>
      <w:r>
        <w:rPr>
          <w:rFonts w:ascii="宋体" w:hAnsi="宋体" w:eastAsia="方正小标宋简体"/>
          <w:sz w:val="44"/>
          <w:szCs w:val="44"/>
        </w:rPr>
        <w:t>执法检查及约谈、通报名单情况表</w:t>
      </w:r>
    </w:p>
    <w:p>
      <w:pPr>
        <w:spacing w:line="600" w:lineRule="exact"/>
        <w:jc w:val="center"/>
        <w:rPr>
          <w:rFonts w:ascii="宋体" w:hAnsi="宋体" w:eastAsia="方正小标宋简体"/>
          <w:sz w:val="44"/>
          <w:szCs w:val="44"/>
        </w:rPr>
      </w:pPr>
      <w:r>
        <w:rPr>
          <w:rFonts w:ascii="宋体" w:hAnsi="宋体" w:eastAsia="方正小标宋简体"/>
          <w:sz w:val="44"/>
          <w:szCs w:val="44"/>
        </w:rPr>
        <w:t>（累计数）</w:t>
      </w:r>
    </w:p>
    <w:p>
      <w:pPr>
        <w:pStyle w:val="3"/>
        <w:rPr>
          <w:rFonts w:ascii="宋体" w:hAnsi="宋体"/>
        </w:rPr>
      </w:pPr>
    </w:p>
    <w:tbl>
      <w:tblPr>
        <w:tblStyle w:val="7"/>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393"/>
        <w:gridCol w:w="1560"/>
        <w:gridCol w:w="1498"/>
        <w:gridCol w:w="1099"/>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spacing w:line="600" w:lineRule="exact"/>
              <w:jc w:val="center"/>
              <w:rPr>
                <w:rFonts w:ascii="宋体" w:hAnsi="宋体" w:eastAsia="方正黑体简体"/>
                <w:szCs w:val="32"/>
              </w:rPr>
            </w:pPr>
            <w:r>
              <w:rPr>
                <w:rFonts w:ascii="宋体" w:hAnsi="宋体" w:eastAsia="方正黑体简体"/>
                <w:szCs w:val="32"/>
              </w:rPr>
              <w:t>停产停业整改企业名单</w:t>
            </w:r>
          </w:p>
        </w:tc>
        <w:tc>
          <w:tcPr>
            <w:tcW w:w="1393" w:type="dxa"/>
            <w:vAlign w:val="top"/>
          </w:tcPr>
          <w:p>
            <w:pPr>
              <w:spacing w:line="600" w:lineRule="exact"/>
              <w:jc w:val="center"/>
              <w:rPr>
                <w:rFonts w:ascii="宋体" w:hAnsi="宋体" w:eastAsia="方正黑体简体"/>
                <w:szCs w:val="32"/>
              </w:rPr>
            </w:pPr>
            <w:r>
              <w:rPr>
                <w:rFonts w:ascii="宋体" w:hAnsi="宋体" w:eastAsia="方正黑体简体"/>
                <w:szCs w:val="32"/>
              </w:rPr>
              <w:t>取缔关闭企业名单</w:t>
            </w:r>
          </w:p>
        </w:tc>
        <w:tc>
          <w:tcPr>
            <w:tcW w:w="1560" w:type="dxa"/>
            <w:vAlign w:val="top"/>
          </w:tcPr>
          <w:p>
            <w:pPr>
              <w:spacing w:line="600" w:lineRule="exact"/>
              <w:jc w:val="center"/>
              <w:rPr>
                <w:rFonts w:ascii="宋体" w:hAnsi="宋体" w:eastAsia="方正黑体简体"/>
                <w:szCs w:val="32"/>
              </w:rPr>
            </w:pPr>
            <w:r>
              <w:rPr>
                <w:rFonts w:ascii="宋体" w:hAnsi="宋体" w:eastAsia="方正黑体简体"/>
                <w:szCs w:val="32"/>
              </w:rPr>
              <w:t>罚款企业名单</w:t>
            </w:r>
          </w:p>
        </w:tc>
        <w:tc>
          <w:tcPr>
            <w:tcW w:w="1498" w:type="dxa"/>
            <w:vAlign w:val="top"/>
          </w:tcPr>
          <w:p>
            <w:pPr>
              <w:spacing w:line="600" w:lineRule="exact"/>
              <w:jc w:val="center"/>
              <w:rPr>
                <w:rFonts w:ascii="宋体" w:hAnsi="宋体" w:eastAsia="方正黑体简体"/>
                <w:szCs w:val="32"/>
              </w:rPr>
            </w:pPr>
            <w:r>
              <w:rPr>
                <w:rFonts w:ascii="宋体" w:hAnsi="宋体" w:eastAsia="方正黑体简体"/>
                <w:szCs w:val="32"/>
              </w:rPr>
              <w:t>罚款金额</w:t>
            </w:r>
          </w:p>
        </w:tc>
        <w:tc>
          <w:tcPr>
            <w:tcW w:w="1099" w:type="dxa"/>
            <w:vAlign w:val="top"/>
          </w:tcPr>
          <w:p>
            <w:pPr>
              <w:spacing w:line="600" w:lineRule="exact"/>
              <w:jc w:val="center"/>
              <w:rPr>
                <w:rFonts w:ascii="宋体" w:hAnsi="宋体" w:eastAsia="方正黑体简体"/>
                <w:szCs w:val="32"/>
              </w:rPr>
            </w:pPr>
            <w:r>
              <w:rPr>
                <w:rFonts w:ascii="宋体" w:hAnsi="宋体" w:eastAsia="方正黑体简体"/>
                <w:szCs w:val="32"/>
              </w:rPr>
              <w:t>约谈名单</w:t>
            </w:r>
          </w:p>
        </w:tc>
        <w:tc>
          <w:tcPr>
            <w:tcW w:w="1092" w:type="dxa"/>
            <w:vAlign w:val="top"/>
          </w:tcPr>
          <w:p>
            <w:pPr>
              <w:spacing w:line="600" w:lineRule="exact"/>
              <w:jc w:val="center"/>
              <w:rPr>
                <w:rFonts w:ascii="宋体" w:hAnsi="宋体" w:eastAsia="方正黑体简体"/>
                <w:szCs w:val="32"/>
              </w:rPr>
            </w:pPr>
            <w:r>
              <w:rPr>
                <w:rFonts w:ascii="宋体" w:hAnsi="宋体" w:eastAsia="方正黑体简体"/>
                <w:szCs w:val="32"/>
              </w:rPr>
              <w:t>通报名单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spacing w:line="600" w:lineRule="exact"/>
              <w:rPr>
                <w:rFonts w:ascii="宋体" w:hAnsi="宋体"/>
              </w:rPr>
            </w:pPr>
          </w:p>
        </w:tc>
        <w:tc>
          <w:tcPr>
            <w:tcW w:w="1393" w:type="dxa"/>
            <w:vAlign w:val="top"/>
          </w:tcPr>
          <w:p>
            <w:pPr>
              <w:spacing w:line="600" w:lineRule="exact"/>
              <w:rPr>
                <w:rFonts w:ascii="宋体" w:hAnsi="宋体"/>
              </w:rPr>
            </w:pPr>
          </w:p>
        </w:tc>
        <w:tc>
          <w:tcPr>
            <w:tcW w:w="1560" w:type="dxa"/>
            <w:vAlign w:val="top"/>
          </w:tcPr>
          <w:p>
            <w:pPr>
              <w:spacing w:line="600" w:lineRule="exact"/>
              <w:rPr>
                <w:rFonts w:ascii="宋体" w:hAnsi="宋体"/>
              </w:rPr>
            </w:pPr>
          </w:p>
        </w:tc>
        <w:tc>
          <w:tcPr>
            <w:tcW w:w="1498" w:type="dxa"/>
            <w:vAlign w:val="top"/>
          </w:tcPr>
          <w:p>
            <w:pPr>
              <w:spacing w:line="600" w:lineRule="exact"/>
              <w:rPr>
                <w:rFonts w:ascii="宋体" w:hAnsi="宋体"/>
              </w:rPr>
            </w:pPr>
          </w:p>
        </w:tc>
        <w:tc>
          <w:tcPr>
            <w:tcW w:w="1099" w:type="dxa"/>
            <w:vAlign w:val="top"/>
          </w:tcPr>
          <w:p>
            <w:pPr>
              <w:spacing w:line="600" w:lineRule="exact"/>
              <w:rPr>
                <w:rFonts w:ascii="宋体" w:hAnsi="宋体"/>
              </w:rPr>
            </w:pPr>
          </w:p>
        </w:tc>
        <w:tc>
          <w:tcPr>
            <w:tcW w:w="1092" w:type="dxa"/>
            <w:vAlign w:val="top"/>
          </w:tcPr>
          <w:p>
            <w:pPr>
              <w:spacing w:line="6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spacing w:line="600" w:lineRule="exact"/>
              <w:rPr>
                <w:rFonts w:ascii="宋体" w:hAnsi="宋体"/>
              </w:rPr>
            </w:pPr>
          </w:p>
        </w:tc>
        <w:tc>
          <w:tcPr>
            <w:tcW w:w="1393" w:type="dxa"/>
            <w:vAlign w:val="top"/>
          </w:tcPr>
          <w:p>
            <w:pPr>
              <w:spacing w:line="600" w:lineRule="exact"/>
              <w:rPr>
                <w:rFonts w:ascii="宋体" w:hAnsi="宋体"/>
              </w:rPr>
            </w:pPr>
          </w:p>
        </w:tc>
        <w:tc>
          <w:tcPr>
            <w:tcW w:w="1560" w:type="dxa"/>
            <w:vAlign w:val="top"/>
          </w:tcPr>
          <w:p>
            <w:pPr>
              <w:spacing w:line="600" w:lineRule="exact"/>
              <w:rPr>
                <w:rFonts w:ascii="宋体" w:hAnsi="宋体"/>
              </w:rPr>
            </w:pPr>
          </w:p>
        </w:tc>
        <w:tc>
          <w:tcPr>
            <w:tcW w:w="1498" w:type="dxa"/>
            <w:vAlign w:val="top"/>
          </w:tcPr>
          <w:p>
            <w:pPr>
              <w:spacing w:line="600" w:lineRule="exact"/>
              <w:rPr>
                <w:rFonts w:ascii="宋体" w:hAnsi="宋体"/>
              </w:rPr>
            </w:pPr>
          </w:p>
        </w:tc>
        <w:tc>
          <w:tcPr>
            <w:tcW w:w="1099" w:type="dxa"/>
            <w:vAlign w:val="top"/>
          </w:tcPr>
          <w:p>
            <w:pPr>
              <w:spacing w:line="600" w:lineRule="exact"/>
              <w:rPr>
                <w:rFonts w:ascii="宋体" w:hAnsi="宋体"/>
              </w:rPr>
            </w:pPr>
          </w:p>
        </w:tc>
        <w:tc>
          <w:tcPr>
            <w:tcW w:w="1092" w:type="dxa"/>
            <w:vAlign w:val="top"/>
          </w:tcPr>
          <w:p>
            <w:pPr>
              <w:spacing w:line="6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spacing w:line="600" w:lineRule="exact"/>
              <w:rPr>
                <w:rFonts w:ascii="宋体" w:hAnsi="宋体"/>
              </w:rPr>
            </w:pPr>
          </w:p>
        </w:tc>
        <w:tc>
          <w:tcPr>
            <w:tcW w:w="1393" w:type="dxa"/>
            <w:vAlign w:val="top"/>
          </w:tcPr>
          <w:p>
            <w:pPr>
              <w:spacing w:line="600" w:lineRule="exact"/>
              <w:rPr>
                <w:rFonts w:ascii="宋体" w:hAnsi="宋体"/>
              </w:rPr>
            </w:pPr>
          </w:p>
        </w:tc>
        <w:tc>
          <w:tcPr>
            <w:tcW w:w="1560" w:type="dxa"/>
            <w:vAlign w:val="top"/>
          </w:tcPr>
          <w:p>
            <w:pPr>
              <w:spacing w:line="600" w:lineRule="exact"/>
              <w:rPr>
                <w:rFonts w:ascii="宋体" w:hAnsi="宋体"/>
              </w:rPr>
            </w:pPr>
          </w:p>
        </w:tc>
        <w:tc>
          <w:tcPr>
            <w:tcW w:w="1498" w:type="dxa"/>
            <w:vAlign w:val="top"/>
          </w:tcPr>
          <w:p>
            <w:pPr>
              <w:spacing w:line="600" w:lineRule="exact"/>
              <w:rPr>
                <w:rFonts w:ascii="宋体" w:hAnsi="宋体"/>
              </w:rPr>
            </w:pPr>
          </w:p>
        </w:tc>
        <w:tc>
          <w:tcPr>
            <w:tcW w:w="1099" w:type="dxa"/>
            <w:vAlign w:val="top"/>
          </w:tcPr>
          <w:p>
            <w:pPr>
              <w:spacing w:line="600" w:lineRule="exact"/>
              <w:rPr>
                <w:rFonts w:ascii="宋体" w:hAnsi="宋体"/>
              </w:rPr>
            </w:pPr>
          </w:p>
        </w:tc>
        <w:tc>
          <w:tcPr>
            <w:tcW w:w="1092" w:type="dxa"/>
            <w:vAlign w:val="top"/>
          </w:tcPr>
          <w:p>
            <w:pPr>
              <w:spacing w:line="6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spacing w:line="600" w:lineRule="exact"/>
              <w:rPr>
                <w:rFonts w:ascii="宋体" w:hAnsi="宋体"/>
              </w:rPr>
            </w:pPr>
          </w:p>
        </w:tc>
        <w:tc>
          <w:tcPr>
            <w:tcW w:w="1393" w:type="dxa"/>
            <w:vAlign w:val="top"/>
          </w:tcPr>
          <w:p>
            <w:pPr>
              <w:spacing w:line="600" w:lineRule="exact"/>
              <w:rPr>
                <w:rFonts w:ascii="宋体" w:hAnsi="宋体"/>
              </w:rPr>
            </w:pPr>
          </w:p>
        </w:tc>
        <w:tc>
          <w:tcPr>
            <w:tcW w:w="1560" w:type="dxa"/>
            <w:vAlign w:val="top"/>
          </w:tcPr>
          <w:p>
            <w:pPr>
              <w:spacing w:line="600" w:lineRule="exact"/>
              <w:rPr>
                <w:rFonts w:ascii="宋体" w:hAnsi="宋体"/>
              </w:rPr>
            </w:pPr>
          </w:p>
        </w:tc>
        <w:tc>
          <w:tcPr>
            <w:tcW w:w="1498" w:type="dxa"/>
            <w:vAlign w:val="top"/>
          </w:tcPr>
          <w:p>
            <w:pPr>
              <w:spacing w:line="600" w:lineRule="exact"/>
              <w:rPr>
                <w:rFonts w:ascii="宋体" w:hAnsi="宋体"/>
              </w:rPr>
            </w:pPr>
          </w:p>
        </w:tc>
        <w:tc>
          <w:tcPr>
            <w:tcW w:w="1099" w:type="dxa"/>
            <w:vAlign w:val="top"/>
          </w:tcPr>
          <w:p>
            <w:pPr>
              <w:spacing w:line="600" w:lineRule="exact"/>
              <w:rPr>
                <w:rFonts w:ascii="宋体" w:hAnsi="宋体"/>
              </w:rPr>
            </w:pPr>
          </w:p>
        </w:tc>
        <w:tc>
          <w:tcPr>
            <w:tcW w:w="1092" w:type="dxa"/>
            <w:vAlign w:val="top"/>
          </w:tcPr>
          <w:p>
            <w:pPr>
              <w:spacing w:line="600" w:lineRule="exact"/>
              <w:rPr>
                <w:rFonts w:ascii="宋体" w:hAnsi="宋体"/>
              </w:rPr>
            </w:pPr>
          </w:p>
        </w:tc>
      </w:tr>
    </w:tbl>
    <w:p>
      <w:pPr>
        <w:spacing w:line="600" w:lineRule="exact"/>
        <w:rPr>
          <w:rFonts w:ascii="宋体" w:hAnsi="宋体"/>
        </w:rPr>
      </w:pPr>
      <w:r>
        <w:rPr>
          <w:rFonts w:hint="eastAsia" w:ascii="宋体" w:hAnsi="宋体" w:eastAsia="仿宋"/>
          <w:sz w:val="24"/>
          <w:lang w:eastAsia="zh-CN"/>
        </w:rPr>
        <w:t>请于每月5日、15日、25日汇总梳理上报。</w:t>
      </w:r>
    </w:p>
    <w:p>
      <w:pPr>
        <w:pStyle w:val="3"/>
        <w:spacing w:line="540" w:lineRule="exact"/>
        <w:ind w:firstLine="640" w:firstLineChars="200"/>
        <w:rPr>
          <w:rFonts w:hint="eastAsia" w:ascii="仿宋_GB2312" w:hAnsi="仿宋_GB2312" w:eastAsia="仿宋_GB2312" w:cs="仿宋_GB2312"/>
          <w:sz w:val="32"/>
          <w:szCs w:val="32"/>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eastAsia="仿宋_GB2312"/>
          <w:sz w:val="32"/>
          <w:szCs w:val="32"/>
          <w:lang w:eastAsia="zh-CN"/>
        </w:rPr>
      </w:pPr>
    </w:p>
    <w:p>
      <w:pPr>
        <w:widowControl w:val="0"/>
        <w:numPr>
          <w:ilvl w:val="0"/>
          <w:numId w:val="0"/>
        </w:numPr>
        <w:wordWrap/>
        <w:adjustRightInd/>
        <w:snapToGrid/>
        <w:spacing w:before="0" w:after="0" w:line="560" w:lineRule="exact"/>
        <w:ind w:left="0" w:leftChars="0" w:right="0" w:firstLine="0" w:firstLineChars="0"/>
        <w:jc w:val="both"/>
        <w:textAlignment w:val="auto"/>
        <w:outlineLvl w:val="9"/>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2"/>
        <w:spacing w:before="0" w:after="0" w:line="560" w:lineRule="exact"/>
        <w:jc w:val="center"/>
        <w:rPr>
          <w:rFonts w:hint="eastAsia" w:ascii="方正小标宋简体" w:hAnsi="方正小标宋简体" w:eastAsia="方正小标宋简体" w:cs="方正小标宋简体"/>
          <w:b w:val="0"/>
          <w:bCs w:val="0"/>
          <w:sz w:val="44"/>
          <w:szCs w:val="44"/>
          <w:shd w:val="clear" w:color="auto" w:fill="FFFFFF"/>
          <w:lang w:eastAsia="zh-CN"/>
        </w:rPr>
      </w:pPr>
    </w:p>
    <w:p>
      <w:pPr>
        <w:pStyle w:val="2"/>
        <w:spacing w:before="0" w:after="0" w:line="560" w:lineRule="exact"/>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lang w:eastAsia="zh-CN"/>
        </w:rPr>
        <w:t>各县（市、区）、各有关单位信息</w:t>
      </w:r>
      <w:r>
        <w:rPr>
          <w:rFonts w:hint="eastAsia" w:ascii="方正小标宋简体" w:hAnsi="方正小标宋简体" w:eastAsia="方正小标宋简体" w:cs="方正小标宋简体"/>
          <w:b w:val="0"/>
          <w:bCs w:val="0"/>
          <w:sz w:val="44"/>
          <w:szCs w:val="44"/>
          <w:shd w:val="clear" w:color="auto" w:fill="FFFFFF"/>
        </w:rPr>
        <w:t>联络员</w:t>
      </w:r>
    </w:p>
    <w:p>
      <w:pPr>
        <w:rPr>
          <w:rFonts w:hint="eastAsia"/>
        </w:rPr>
      </w:pPr>
    </w:p>
    <w:p>
      <w:pPr>
        <w:rPr>
          <w:rFonts w:hint="eastAsia"/>
        </w:rPr>
      </w:pPr>
    </w:p>
    <w:tbl>
      <w:tblPr>
        <w:tblStyle w:val="7"/>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650"/>
        <w:gridCol w:w="2092"/>
        <w:gridCol w:w="217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单</w:t>
            </w:r>
            <w:r>
              <w:rPr>
                <w:rFonts w:ascii="仿宋" w:hAnsi="仿宋" w:eastAsia="仿宋"/>
                <w:b/>
                <w:sz w:val="28"/>
                <w:szCs w:val="28"/>
              </w:rPr>
              <w:t xml:space="preserve">   </w:t>
            </w:r>
            <w:r>
              <w:rPr>
                <w:rFonts w:hint="eastAsia" w:ascii="仿宋" w:hAnsi="仿宋" w:eastAsia="仿宋"/>
                <w:b/>
                <w:sz w:val="28"/>
                <w:szCs w:val="28"/>
              </w:rPr>
              <w:t>位</w:t>
            </w:r>
          </w:p>
        </w:tc>
        <w:tc>
          <w:tcPr>
            <w:tcW w:w="16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姓</w:t>
            </w:r>
            <w:r>
              <w:rPr>
                <w:rFonts w:ascii="仿宋" w:hAnsi="仿宋" w:eastAsia="仿宋"/>
                <w:b/>
                <w:sz w:val="28"/>
                <w:szCs w:val="28"/>
              </w:rPr>
              <w:t xml:space="preserve">  </w:t>
            </w:r>
            <w:r>
              <w:rPr>
                <w:rFonts w:hint="eastAsia" w:ascii="仿宋" w:hAnsi="仿宋" w:eastAsia="仿宋"/>
                <w:b/>
                <w:sz w:val="28"/>
                <w:szCs w:val="28"/>
              </w:rPr>
              <w:t>名</w:t>
            </w:r>
          </w:p>
        </w:tc>
        <w:tc>
          <w:tcPr>
            <w:tcW w:w="20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职务</w:t>
            </w:r>
          </w:p>
        </w:tc>
        <w:tc>
          <w:tcPr>
            <w:tcW w:w="217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b/>
                <w:sz w:val="28"/>
                <w:szCs w:val="28"/>
              </w:rPr>
            </w:pPr>
            <w:r>
              <w:rPr>
                <w:rFonts w:hint="eastAsia" w:ascii="仿宋" w:hAnsi="仿宋" w:eastAsia="仿宋"/>
                <w:b/>
                <w:sz w:val="28"/>
                <w:szCs w:val="28"/>
              </w:rPr>
              <w:t>联系电话</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备</w:t>
            </w:r>
            <w:r>
              <w:rPr>
                <w:rFonts w:ascii="仿宋" w:hAnsi="仿宋" w:eastAsia="仿宋"/>
                <w:b/>
                <w:sz w:val="28"/>
                <w:szCs w:val="28"/>
              </w:rPr>
              <w:t xml:space="preserve">  </w:t>
            </w:r>
            <w:r>
              <w:rPr>
                <w:rFonts w:hint="eastAsia" w:ascii="仿宋" w:hAnsi="仿宋" w:eastAsia="仿宋"/>
                <w:b/>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2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16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2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联络员</w:t>
            </w:r>
          </w:p>
        </w:tc>
      </w:tr>
    </w:tbl>
    <w:p>
      <w:pPr>
        <w:pStyle w:val="6"/>
        <w:ind w:left="0" w:leftChars="0" w:firstLine="0" w:firstLineChars="0"/>
        <w:rPr>
          <w:rFonts w:hint="eastAsia" w:eastAsia="仿宋_GB2312"/>
          <w:sz w:val="30"/>
          <w:szCs w:val="30"/>
          <w:lang w:eastAsia="zh-CN"/>
        </w:rPr>
      </w:pPr>
      <w:r>
        <w:rPr>
          <w:rFonts w:hint="eastAsia"/>
          <w:sz w:val="30"/>
          <w:szCs w:val="30"/>
          <w:lang w:eastAsia="zh-CN"/>
        </w:rPr>
        <w:t>请于</w:t>
      </w:r>
      <w:r>
        <w:rPr>
          <w:rFonts w:hint="eastAsia"/>
          <w:sz w:val="30"/>
          <w:szCs w:val="30"/>
          <w:lang w:val="en-US" w:eastAsia="zh-CN"/>
        </w:rPr>
        <w:t>2021年5月25日上午下班前报送</w:t>
      </w:r>
    </w:p>
    <w:p>
      <w:pPr>
        <w:pStyle w:val="6"/>
        <w:ind w:left="0" w:leftChars="0" w:firstLine="0" w:firstLineChars="0"/>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pStyle w:val="6"/>
        <w:rPr>
          <w:rFonts w:hint="eastAsia" w:eastAsia="仿宋_GB2312"/>
          <w:sz w:val="32"/>
          <w:szCs w:val="32"/>
          <w:lang w:eastAsia="zh-CN"/>
        </w:rPr>
      </w:pPr>
    </w:p>
    <w:p>
      <w:pPr>
        <w:spacing w:line="600" w:lineRule="exact"/>
        <w:ind w:firstLine="280" w:firstLineChars="100"/>
        <w:rPr>
          <w:rFonts w:hint="eastAsia" w:eastAsia="仿宋_GB2312"/>
          <w:sz w:val="32"/>
          <w:szCs w:val="32"/>
          <w:lang w:eastAsia="zh-CN"/>
        </w:rPr>
      </w:pPr>
      <w:r>
        <w:rPr>
          <w:rFonts w:hint="eastAsia" w:ascii="仿宋_GB2312" w:hAnsi="仿宋_GB2312" w:eastAsia="仿宋_GB2312" w:cs="仿宋_GB2312"/>
          <w:snapToGrid w:val="0"/>
          <w:kern w:val="0"/>
          <w:sz w:val="28"/>
          <w:szCs w:val="28"/>
          <w:lang w:val="en-US" w:eastAsia="zh-CN" w:bidi="ar-SA"/>
        </w:rPr>
        <w:pict>
          <v:line id="Line 5" o:spid="_x0000_s1030" o:spt="20" style="position:absolute;left:0pt;margin-left:-8.8pt;margin-top:1.25pt;height:0.05pt;width:442pt;z-index:2516582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snapToGrid w:val="0"/>
          <w:kern w:val="0"/>
          <w:sz w:val="28"/>
          <w:szCs w:val="28"/>
          <w:lang w:val="en-US" w:eastAsia="zh-CN" w:bidi="ar-SA"/>
        </w:rPr>
        <w:pict>
          <v:line id="Line 6" o:spid="_x0000_s1031" o:spt="20" style="position:absolute;left:0pt;margin-left:-8.35pt;margin-top:31.5pt;height:0.05pt;width:44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snapToGrid w:val="0"/>
          <w:kern w:val="0"/>
          <w:sz w:val="28"/>
          <w:szCs w:val="28"/>
          <w:lang w:eastAsia="zh-CN"/>
        </w:rPr>
        <w:t>泉州市安全生产委员会办公室</w:t>
      </w: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 xml:space="preserve">  </w:t>
      </w: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20</w:t>
      </w:r>
      <w:r>
        <w:rPr>
          <w:rFonts w:hint="eastAsia" w:ascii="仿宋_GB2312" w:hAnsi="仿宋_GB2312" w:eastAsia="仿宋_GB2312" w:cs="仿宋_GB2312"/>
          <w:snapToGrid w:val="0"/>
          <w:kern w:val="0"/>
          <w:sz w:val="28"/>
          <w:szCs w:val="28"/>
          <w:lang w:val="en-US" w:eastAsia="zh-CN"/>
        </w:rPr>
        <w:t>21</w:t>
      </w:r>
      <w:r>
        <w:rPr>
          <w:rFonts w:hint="eastAsia" w:ascii="仿宋_GB2312" w:hAnsi="仿宋_GB2312" w:eastAsia="仿宋_GB2312" w:cs="仿宋_GB2312"/>
          <w:snapToGrid w:val="0"/>
          <w:kern w:val="0"/>
          <w:sz w:val="28"/>
          <w:szCs w:val="28"/>
        </w:rPr>
        <w:t>年</w:t>
      </w:r>
      <w:r>
        <w:rPr>
          <w:rFonts w:hint="eastAsia" w:ascii="仿宋_GB2312" w:hAnsi="仿宋_GB2312" w:eastAsia="仿宋_GB2312" w:cs="仿宋_GB2312"/>
          <w:snapToGrid w:val="0"/>
          <w:kern w:val="0"/>
          <w:sz w:val="28"/>
          <w:szCs w:val="28"/>
          <w:lang w:val="en-US" w:eastAsia="zh-CN"/>
        </w:rPr>
        <w:t>5</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val="en-US" w:eastAsia="zh-CN"/>
        </w:rPr>
        <w:t>21</w:t>
      </w:r>
      <w:r>
        <w:rPr>
          <w:rFonts w:hint="eastAsia" w:ascii="仿宋_GB2312" w:hAnsi="仿宋_GB2312" w:eastAsia="仿宋_GB2312" w:cs="仿宋_GB2312"/>
          <w:snapToGrid w:val="0"/>
          <w:kern w:val="0"/>
          <w:sz w:val="28"/>
          <w:szCs w:val="28"/>
        </w:rPr>
        <w:t>日印发</w:t>
      </w:r>
    </w:p>
    <w:sectPr>
      <w:footerReference r:id="rId7" w:type="default"/>
      <w:footerReference r:id="rId8" w:type="even"/>
      <w:pgSz w:w="11906" w:h="16838"/>
      <w:pgMar w:top="1440" w:right="1803" w:bottom="1440" w:left="1803" w:header="850" w:footer="992" w:gutter="0"/>
      <w:pgNumType w:fmt="numberInDash"/>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7" o:spid="_x0000_s2049" o:spt="202" type="#_x0000_t202" style="position:absolute;left:0pt;margin-top:0pt;height:144pt;width:144pt;mso-position-horizontal:outside;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8" o:spid="_x0000_s2050" o:spt="202" type="#_x0000_t202" style="position:absolute;left:0pt;margin-top:0pt;height:144pt;width:144pt;mso-position-horizontal:outside;mso-position-horizontal-relative:margin;mso-wrap-style:none;z-index:2516684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1" o:spid="_x0000_s2051"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- 13 -</w:t>
                </w:r>
                <w:r>
                  <w:rPr>
                    <w:rFonts w:hint="eastAsia" w:ascii="宋体" w:hAnsi="宋体" w:eastAsia="宋体" w:cs="宋体"/>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2" o:spid="_x0000_s2052"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- 12 -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0"/>
  <w:drawingGridVerticalSpacing w:val="16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4C300472"/>
    <w:rsid w:val="7E3846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rFonts w:eastAsia="宋体"/>
      <w:b/>
      <w:bCs/>
    </w:rPr>
  </w:style>
  <w:style w:type="character" w:default="1" w:styleId="8">
    <w:name w:val="Default Paragraph Font"/>
    <w:semiHidden/>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2"/>
    <w:basedOn w:val="1"/>
    <w:qFormat/>
    <w:uiPriority w:val="0"/>
    <w:pPr>
      <w:ind w:firstLine="420" w:firstLineChars="200"/>
    </w:pPr>
    <w:rPr>
      <w:rFonts w:ascii="仿宋_GB2312" w:eastAsia="仿宋_GB2312"/>
      <w:sz w:val="32"/>
      <w:szCs w:val="32"/>
    </w:rPr>
  </w:style>
  <w:style w:type="character" w:styleId="9">
    <w:name w:val="Emphasis"/>
    <w:qFormat/>
    <w:uiPriority w:val="0"/>
    <w:rPr>
      <w:color w:val="C60A00"/>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textRotate="1"/>
    <customShpInfo spid="_x0000_s2052"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2021-05-19T13:05:00Z</dcterms:created>
  <dc:creator>Administrator</dc:creator>
  <cp:lastModifiedBy>PC</cp:lastModifiedBy>
  <cp:lastPrinted>2021-05-24T01:39:26Z</cp:lastPrinted>
  <dcterms:modified xsi:type="dcterms:W3CDTF">2021-05-24T02:09:55Z</dcterms:modified>
  <dc:title>为深入学习贯彻习近平总书记关于安全生产重要论述和来闽考察时对安全生产工作的重要指示精神，认真贯彻落实《中共泉州市委办公室  泉州市人民政府办公室印发&lt;关于全面加强危险化学品安全生产工作的若干措施&gt;的通知》，紧盯我市危险化学品领域安全痛点难点，扎实推进危险化学品安全专项整治三年行动集中攻坚，着力防范化解重大安全风险，按照《泉州市安全生产委员会关于开展“控事故、保安全、迎建党百年”安全生产集中攻坚专项行动的通知》（泉安委〔2021〕10号）部署要求，自即日起至2021年7月底，在全市开展“控事故、保安全、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