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vanish/>
          <w:kern w:val="0"/>
          <w:sz w:val="24"/>
          <w:szCs w:val="24"/>
          <w:lang w:val="en-US" w:eastAsia="zh-CN" w:bidi="ar"/>
        </w:rPr>
        <w:object>
          <v:shape id="_x0000_i1025" o:spt="201" type="#_x0000_t201" style="height:18pt;width:72pt;" o:ole="t" filled="f" o:preferrelative="t" stroked="f" coordsize="21600,21600">
            <v:path/>
            <v:fill on="f" focussize="0,0"/>
            <v:stroke on="f"/>
            <v:imagedata r:id="rId5" o:title=""/>
            <o:lock v:ext="edit" aspectratio="t"/>
            <w10:wrap type="none"/>
            <w10:anchorlock/>
          </v:shape>
          <w:control r:id="rId4" w:name="Control 1" w:shapeid="_x0000_i1025"/>
        </w:object>
      </w:r>
      <w:r>
        <w:rPr>
          <w:rFonts w:ascii="宋体" w:hAnsi="宋体" w:eastAsia="宋体" w:cs="宋体"/>
          <w:vanish/>
          <w:kern w:val="0"/>
          <w:sz w:val="24"/>
          <w:szCs w:val="24"/>
          <w:lang w:val="en-US" w:eastAsia="zh-CN" w:bidi="ar"/>
        </w:rPr>
        <w:object>
          <v:shape id="_x0000_i1026" o:spt="201" type="#_x0000_t201" style="height:18pt;width:72pt;" o:ole="t" filled="f" o:preferrelative="t" stroked="f" coordsize="21600,21600">
            <v:path/>
            <v:fill on="f" focussize="0,0"/>
            <v:stroke on="f"/>
            <v:imagedata r:id="rId7" o:title=""/>
            <o:lock v:ext="edit" aspectratio="t"/>
            <w10:wrap type="none"/>
            <w10:anchorlock/>
          </v:shape>
          <w:control r:id="rId6" w:name="Control 2" w:shapeid="_x0000_i1026"/>
        </w:object>
      </w:r>
    </w:p>
    <w:p>
      <w:pPr>
        <w:pStyle w:val="3"/>
        <w:keepNext w:val="0"/>
        <w:keepLines w:val="0"/>
        <w:widowControl/>
        <w:suppressLineNumbers w:val="0"/>
        <w:spacing w:before="75" w:beforeAutospacing="0" w:after="75" w:afterAutospacing="0"/>
        <w:ind w:left="0" w:right="0" w:firstLine="0"/>
        <w:jc w:val="center"/>
      </w:pPr>
      <w:r>
        <w:rPr>
          <w:rStyle w:val="6"/>
          <w:rFonts w:ascii="宋体" w:hAnsi="宋体" w:eastAsia="宋体" w:cs="宋体"/>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72"/>
          <w:szCs w:val="72"/>
        </w:rPr>
        <w:t>竞争性谈判文件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项目名称：</w:t>
      </w:r>
      <w:bookmarkStart w:id="0" w:name="_GoBack"/>
      <w:r>
        <w:rPr>
          <w:rFonts w:hint="eastAsia" w:ascii="宋体" w:hAnsi="宋体" w:eastAsia="宋体" w:cs="宋体"/>
          <w:spacing w:val="0"/>
          <w:sz w:val="30"/>
          <w:szCs w:val="30"/>
        </w:rPr>
        <w:t>泉州师范学院数计学院数据科学专业教学实验平台货物类采购项目</w:t>
      </w:r>
      <w:bookmarkEnd w:id="0"/>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备案编号：</w:t>
      </w:r>
      <w:r>
        <w:rPr>
          <w:rFonts w:hint="eastAsia" w:ascii="宋体" w:hAnsi="宋体" w:eastAsia="宋体" w:cs="宋体"/>
          <w:spacing w:val="0"/>
          <w:sz w:val="30"/>
          <w:szCs w:val="30"/>
        </w:rPr>
        <w:t>C-SY-JT-202008-B0195-IDN</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项目编号：</w:t>
      </w:r>
      <w:r>
        <w:rPr>
          <w:rFonts w:hint="eastAsia" w:ascii="宋体" w:hAnsi="宋体" w:eastAsia="宋体" w:cs="宋体"/>
          <w:spacing w:val="0"/>
          <w:sz w:val="30"/>
          <w:szCs w:val="30"/>
        </w:rPr>
        <w:t>[350500]FJHD[TP]2020003</w:t>
      </w:r>
    </w:p>
    <w:p>
      <w:pPr>
        <w:pStyle w:val="3"/>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keepNext w:val="0"/>
        <w:keepLines w:val="0"/>
        <w:widowControl/>
        <w:suppressLineNumbers w:val="0"/>
        <w:jc w:val="left"/>
      </w:pPr>
      <w:r>
        <w:rPr>
          <w:rStyle w:val="6"/>
          <w:rFonts w:ascii="宋体" w:hAnsi="宋体" w:eastAsia="宋体" w:cs="宋体"/>
          <w:vanish/>
          <w:kern w:val="0"/>
          <w:sz w:val="24"/>
          <w:szCs w:val="24"/>
          <w:lang w:val="en-US" w:eastAsia="zh-CN" w:bidi="ar"/>
        </w:rPr>
        <w:object>
          <v:shape id="_x0000_i1027" o:spt="201" type="#_x0000_t201" style="height:18pt;width:72pt;" o:ole="t" filled="f" o:preferrelative="t" stroked="f" coordsize="21600,21600">
            <v:path/>
            <v:fill on="f" focussize="0,0"/>
            <v:stroke on="f"/>
            <v:imagedata r:id="rId9" o:title=""/>
            <o:lock v:ext="edit" aspectratio="t"/>
            <w10:wrap type="none"/>
            <w10:anchorlock/>
          </v:shape>
          <w:control r:id="rId8" w:name="Control 3" w:shapeid="_x0000_i1027"/>
        </w:object>
      </w:r>
      <w:r>
        <w:rPr>
          <w:rStyle w:val="6"/>
          <w:rFonts w:ascii="宋体" w:hAnsi="宋体" w:eastAsia="宋体" w:cs="宋体"/>
          <w:vanish/>
          <w:kern w:val="0"/>
          <w:sz w:val="24"/>
          <w:szCs w:val="24"/>
          <w:lang w:val="en-US" w:eastAsia="zh-CN" w:bidi="ar"/>
        </w:rPr>
        <w:object>
          <v:shape id="_x0000_i1028" o:spt="201" type="#_x0000_t201" style="height:18pt;width:72pt;" o:ole="t" filled="f" o:preferrelative="t" stroked="f" coordsize="21600,21600">
            <v:path/>
            <v:fill on="f" focussize="0,0"/>
            <v:stroke on="f"/>
            <v:imagedata r:id="rId9" o:title=""/>
            <o:lock v:ext="edit" aspectratio="t"/>
            <w10:wrap type="none"/>
            <w10:anchorlock/>
          </v:shape>
          <w:control r:id="rId10" w:name="Control 4" w:shapeid="_x0000_i1028"/>
        </w:objec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30"/>
          <w:szCs w:val="30"/>
        </w:rPr>
        <w:t>福建恒都工程项目管理有限公司</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2020年08月</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30"/>
          <w:szCs w:val="30"/>
        </w:rPr>
        <w:t> </w:t>
      </w:r>
    </w:p>
    <w:p>
      <w:pPr>
        <w:keepNext w:val="0"/>
        <w:keepLines w:val="0"/>
        <w:widowControl/>
        <w:suppressLineNumbers w:val="0"/>
        <w:jc w:val="center"/>
      </w:pPr>
      <w:r>
        <w:rPr>
          <w:rStyle w:val="6"/>
          <w:rFonts w:ascii="宋体" w:hAnsi="宋体" w:eastAsia="宋体" w:cs="宋体"/>
          <w:vanish/>
          <w:kern w:val="0"/>
          <w:sz w:val="24"/>
          <w:szCs w:val="24"/>
          <w:lang w:val="en-US" w:eastAsia="zh-CN" w:bidi="ar"/>
        </w:rPr>
        <w:object>
          <v:shape id="_x0000_i1029" o:spt="201" type="#_x0000_t201" style="height:18pt;width:72pt;" o:ole="t" filled="f" o:preferrelative="t" stroked="f" coordsize="21600,21600">
            <v:path/>
            <v:fill on="f" focussize="0,0"/>
            <v:stroke on="f"/>
            <v:imagedata r:id="rId9" o:title=""/>
            <o:lock v:ext="edit" aspectratio="t"/>
            <w10:wrap type="none"/>
            <w10:anchorlock/>
          </v:shape>
          <w:control r:id="rId11" w:name="Control 5" w:shapeid="_x0000_i1029"/>
        </w:object>
      </w:r>
      <w:r>
        <w:rPr>
          <w:rStyle w:val="6"/>
          <w:rFonts w:ascii="宋体" w:hAnsi="宋体" w:eastAsia="宋体" w:cs="宋体"/>
          <w:vanish/>
          <w:kern w:val="0"/>
          <w:sz w:val="24"/>
          <w:szCs w:val="24"/>
          <w:lang w:val="en-US" w:eastAsia="zh-CN" w:bidi="ar"/>
        </w:rPr>
        <w:object>
          <v:shape id="_x0000_i1030" o:spt="201" type="#_x0000_t201" style="height:18pt;width:72pt;" o:ole="t" filled="f" o:preferrelative="t" stroked="f" coordsize="21600,21600">
            <v:path/>
            <v:fill on="f" focussize="0,0"/>
            <v:stroke on="f"/>
            <v:imagedata r:id="rId9" o:title=""/>
            <o:lock v:ext="edit" aspectratio="t"/>
            <w10:wrap type="none"/>
            <w10:anchorlock/>
          </v:shape>
          <w:control r:id="rId12" w:name="Control 6" w:shapeid="_x0000_i1030"/>
        </w:object>
      </w:r>
    </w:p>
    <w:p>
      <w:pPr>
        <w:keepNext w:val="0"/>
        <w:keepLines w:val="0"/>
        <w:widowControl/>
        <w:suppressLineNumbers w:val="0"/>
        <w:jc w:val="left"/>
      </w:pPr>
      <w:r>
        <w:rPr>
          <w:rStyle w:val="6"/>
          <w:rFonts w:hint="eastAsia" w:ascii="宋体" w:hAnsi="宋体" w:eastAsia="宋体" w:cs="宋体"/>
          <w:spacing w:val="0"/>
          <w:kern w:val="0"/>
          <w:sz w:val="30"/>
          <w:szCs w:val="30"/>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数计学院数据科学专业教学实验平台货物类采购项目项目（以下简称：“本项目”）的政府采购活动，现欢迎国内合格的供应商前来参加。本项目由采购人委托福建恒都工程项目管理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1.项目名称：泉州师范学院数计学院数据科学专业教学实验平台货物类采购项目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2.备案编号：C-SY-JT-202008-B0195-IDN</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3.项目编号：[350500]FJHD[TP]2020003</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r>
        <w:t xml:space="preserve"> </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9"/>
              <w:gridCol w:w="1838"/>
              <w:gridCol w:w="920"/>
              <w:gridCol w:w="920"/>
              <w:gridCol w:w="920"/>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大数据竞赛平台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大数据云计算设备（控制器1台+节点3台）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接入交换机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网络系统集成</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1（项）</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大数据教学平台管理系统</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86000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大数据课程资源（10门课程）</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200000</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596000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11920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合同包1）。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6.3是否接受联合体形式的响应谈判：接受的合同包有：合同包1</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联系人：杨志丹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联系方法：18959798163</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代理机构：福建恒都工程项目管理有限公司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址：泉州市丰泽区东海街道 街（路、道、巷、乡、镇） 丰海路东海泰禾广场13号楼SOHO 2302室 号（村）</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联系人：陈昭鑫</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联系方法：13799525787/0595-22301995</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开户名称：福建恒都工程项目管理有限公司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6"/>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r>
        <w:rPr>
          <w:rStyle w:val="6"/>
          <w:rFonts w:hint="eastAsia" w:ascii="宋体" w:hAnsi="宋体" w:eastAsia="宋体" w:cs="宋体"/>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9"/>
        <w:gridCol w:w="892"/>
        <w:gridCol w:w="71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0"/>
              <w:gridCol w:w="3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0"/>
              <w:gridCol w:w="3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接受的合同包有：合同包1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银行转账 </w:t>
            </w:r>
            <w:r>
              <w:rPr>
                <w:rFonts w:hint="eastAsia" w:ascii="宋体" w:hAnsi="宋体" w:eastAsia="宋体" w:cs="宋体"/>
                <w:spacing w:val="0"/>
                <w:sz w:val="24"/>
                <w:szCs w:val="24"/>
              </w:rPr>
              <w:t>，须于提交响应文件截止时间前到达指定账户为准，是否到达以 </w:t>
            </w:r>
            <w:r>
              <w:rPr>
                <w:spacing w:val="0"/>
                <w:sz w:val="24"/>
                <w:szCs w:val="24"/>
              </w:rPr>
              <w:t>福建省政府网系统时间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3 </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69"/>
              <w:gridCol w:w="1369"/>
              <w:gridCol w:w="41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成交人在签订合同前应向采购人缴纳合同金额5%的履约及质量保证金。该保证金在成交人供应的货物全部验收合格后质保期期满且无质量及售后服务问题时15个工作日内无息退还。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成交人</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2.1 本项目的招标代理服务费由成交人支付，招标文件其他内容与本条款有冲突的，以本条款为准。收费标准以合同包的中标总金额为准。根据国家计委（计价格[2002]1980号）文件规定按差额定率累进法计算：100万元以下 1.5% ；100万-500万0.8%，在领取成交通知书前以转帐、电汇、现金存款等方式一次性缴清。 2.2 招标代理服务费缴交账户: 开户单位：福建恒都工程项目管理有限公司开户帐号：3505 0165 6007 0000 0019 开户银行：中国建设银行股份有限公司泉州丰泽支行。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小型、微型企业产品： 根据财政部、工业和信息化部制定的《政府采购促进中小企业发展暂行办法》规定，对符合中小企业划分标准，提供本企业制造的货物、承担的工程或者服务，或者提供其他中小企业制造的货物的中小企业给予价格扣除，用扣除后的价格参与评审。（本项所称货物不包括使用大型企业注册商标的货物）价格扣除标准： ②小型和微型企业产品的价格给予6%的扣除； ②联合协议中约定，小型、微型企业的协议合同金额占到联合体协议合同总金额30%以上的，给予联合体2%的价格扣除。 联合体各方均为小型、微型企业的，联合体视同为小型、微型企业。 组成联合体的大中型企业和其他自然人、法人或者其他组织，与小型、微型企业之间不得存在投资关系。 ③小型、微型企业产品仅是构成投标产品的部件、组件或零件的，则该产品不享受价格扣除优惠。 ④小型和微型企业适用价格扣除办法时应提供以下相关资料，并用扣除后的价格参与评审：（注：若未提供以下所有相关材料，则本项内容不予价格扣除。） (1)《小型和微型企业产品价格统计表》（格式附后）。 (2)《中小企业声明函》（格式附后）。 (3)投标供应商提供投标供应商（小、微企业）和投标产品（小、微企业生产的产品）的生产企业参与投标截止时间前三个月内任一个月的缴纳社会保险资金证明材料，证明材料包括以下内容：实行电子缴纳方式的，应提供向税务机关网上申报成功后打印的）《社会保险费申报表》、《社会保险费申报明细表》及银行出具的缴款收讫凭证复印件； 实行现场缴纳方式的，应提供税务机关或社保机构出具的缴纳社会资金证明。（证明材料应加盖缴纳企业的公章） (4) 投标供应商及该价格扣除产品企业的上一年度经会计师事务所出具的财务审计报表，并加盖投标供应商的公章。(5)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并按招标文件格式要求制作“小型、微型企业产品统计表”，否则不予价格扣除。）（6）根据财政部、民政部、中国残疾人联合会联合发布《关于促进残疾人就业政府采购政策的通知》（财库〔2017〕141号）文件规定，残疾人福利性单位视同小型、微型企业，享受评审中价格扣除的政府采购政策。残疾人福利性单位属于小型、微型企业的，不重复享受政策。此次若有残疾人福利性单位参加投标的只需提供《残疾人福利性单位声明函》，并对声明的真实性负责。 。</w:t>
      </w:r>
      <w:r>
        <w:t xml:space="preserve"> </w:t>
      </w:r>
    </w:p>
    <w:p>
      <w:pPr>
        <w:pStyle w:val="3"/>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t xml:space="preserve"> </w:t>
      </w:r>
    </w:p>
    <w:p>
      <w:pPr>
        <w:pStyle w:val="3"/>
        <w:keepNext w:val="0"/>
        <w:keepLines w:val="0"/>
        <w:widowControl/>
        <w:suppressLineNumbers w:val="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   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满足竞争性谈判文件所述技术部分要求。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满足竞争性谈判文件所述商务部分要求。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line="465" w:lineRule="atLeast"/>
        <w:ind w:left="0" w:firstLine="480"/>
      </w:pPr>
      <w:r>
        <w:rPr>
          <w:rFonts w:hint="eastAsia" w:ascii="宋体" w:hAnsi="宋体" w:eastAsia="宋体" w:cs="宋体"/>
          <w:color w:val="000000"/>
          <w:sz w:val="21"/>
          <w:szCs w:val="21"/>
        </w:rPr>
        <w:t>泉州师范学院数计学院于</w:t>
      </w:r>
      <w:r>
        <w:rPr>
          <w:color w:val="000000"/>
          <w:sz w:val="21"/>
          <w:szCs w:val="21"/>
        </w:rPr>
        <w:t>2019</w:t>
      </w:r>
      <w:r>
        <w:rPr>
          <w:rFonts w:hint="eastAsia" w:ascii="宋体" w:hAnsi="宋体" w:eastAsia="宋体" w:cs="宋体"/>
          <w:color w:val="000000"/>
          <w:sz w:val="21"/>
          <w:szCs w:val="21"/>
        </w:rPr>
        <w:t>年获批一个新专业——数据科学与大数据技术，并于</w:t>
      </w:r>
      <w:r>
        <w:rPr>
          <w:color w:val="000000"/>
          <w:sz w:val="21"/>
          <w:szCs w:val="21"/>
        </w:rPr>
        <w:t>2019</w:t>
      </w:r>
      <w:r>
        <w:rPr>
          <w:rFonts w:hint="eastAsia" w:ascii="宋体" w:hAnsi="宋体" w:eastAsia="宋体" w:cs="宋体"/>
          <w:color w:val="000000"/>
          <w:sz w:val="21"/>
          <w:szCs w:val="21"/>
        </w:rPr>
        <w:t>年秋季开始招生，招生规模为</w:t>
      </w:r>
      <w:r>
        <w:rPr>
          <w:color w:val="000000"/>
          <w:sz w:val="21"/>
          <w:szCs w:val="21"/>
        </w:rPr>
        <w:t>50</w:t>
      </w:r>
      <w:r>
        <w:rPr>
          <w:rFonts w:hint="eastAsia" w:ascii="宋体" w:hAnsi="宋体" w:eastAsia="宋体" w:cs="宋体"/>
          <w:color w:val="000000"/>
          <w:sz w:val="21"/>
          <w:szCs w:val="21"/>
        </w:rPr>
        <w:t>人。该专业的学生需要从原理、技术与应用等不同的角度掌握大数据平台搭建的方法与原理、挖掘的算法与技巧、分析的理论、分析知识、存储的工具与要求，还需要通过实验来加深理解和提高实际操作能力。但是，大数据的环境搭建方法、挖掘算法、分析知识、数据存储、运算环境以及用于实验的大数据生命周期内的真实案例都无法在我校现有的实验室中完成。因此急需采购一套大数据实验系统，以满足教学的基本需求。</w:t>
      </w:r>
    </w:p>
    <w:p>
      <w:pPr>
        <w:pStyle w:val="3"/>
        <w:keepNext w:val="0"/>
        <w:keepLines w:val="0"/>
        <w:widowControl/>
        <w:suppressLineNumbers w:val="0"/>
        <w:spacing w:line="465" w:lineRule="atLeast"/>
        <w:ind w:left="0" w:firstLine="480"/>
      </w:pPr>
      <w:r>
        <w:rPr>
          <w:rFonts w:hint="eastAsia" w:ascii="宋体" w:hAnsi="宋体" w:eastAsia="宋体" w:cs="宋体"/>
          <w:color w:val="000000"/>
          <w:sz w:val="21"/>
          <w:szCs w:val="21"/>
        </w:rPr>
        <w:t>大数据实验系统是基于高校的教学场景，运用云计算技术，集课程实验、算法实战、数据科研、考试于一体的实验实训平台。系统部署支持公有云和私有云两种模式，学生可通过浏览器访问使用，可在学校任何一个网络可达的场所进行学习。</w:t>
      </w:r>
    </w:p>
    <w:p>
      <w:pPr>
        <w:pStyle w:val="3"/>
        <w:keepNext w:val="0"/>
        <w:keepLines w:val="0"/>
        <w:widowControl/>
        <w:suppressLineNumbers w:val="0"/>
        <w:spacing w:line="465" w:lineRule="atLeast"/>
        <w:ind w:left="0" w:firstLine="480"/>
      </w:pPr>
      <w:r>
        <w:rPr>
          <w:rFonts w:hint="eastAsia" w:ascii="宋体" w:hAnsi="宋体" w:eastAsia="宋体" w:cs="宋体"/>
          <w:color w:val="000000"/>
          <w:sz w:val="21"/>
          <w:szCs w:val="21"/>
        </w:rPr>
        <w:t>本次采购项目将有利于数据科学与大数据技术专业培养大数据方面的相关人才，支撑大数据专业主要课程的实验教学以及课程设 计、项目实训、大学生创新创业项目、大学生竞赛等多个教学工作开展。同时也能给计算机科学与技术专业、物联网工程专业等相关专业提供大数据课程的实验教学、项目实训和学科竞赛。</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(一)</w:t>
      </w:r>
      <w:r>
        <w:rPr>
          <w:rStyle w:val="6"/>
          <w:rFonts w:hint="eastAsia" w:ascii="宋体" w:hAnsi="宋体" w:eastAsia="宋体" w:cs="宋体"/>
          <w:sz w:val="19"/>
          <w:szCs w:val="19"/>
        </w:rPr>
        <w:t>大数据竞赛平台</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1.要求提供大数据竞赛平台，供学院学生提高大数据竞赛水平。 </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2.要求竞赛内容以步骤的形式展示；每一个步骤下都具有多个子考题，附有考题分值；选手完成每一步时点击“立即验证”功能按钮，系统自动监测出完成用时与完成情况；子考题全部验证通过后，才能够进行下一步考题。 </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3.要求成绩模块包括比赛排名、比赛得分及当前步骤用时；要求通知栏模块实时监控全部竞赛选手的比赛状态，包括得分选手、得分时间与得分步骤；要求排行榜模块显示出参赛选手的整体成绩，竞赛总成绩为所有得分步骤的总和，得分榜以条形图的形式展现。 </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4.要求支持web_console功能，支持学生在浏览器页面上进行答题，页面包括比赛倒计时功能，比赛排名与得分展示；比赛步骤支持串行与并行顺序；支持虚拟机列表与虚拟机信息；虚拟机信息包括名字、用户名、密码、端口号、使用协议、IP等；并将操作环境集成在同一页面上，支持学生进行操作与虚拟机集群之间的快速切换；要求提供截图证明图片； </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5.要求竞赛展示界面中心是一座动态塔形图，要求以塔层搭建的过程模拟学生比赛过程；要求选手首次完成步骤后，以动画的形式搭建一层，支持语音播报效果通知；要求后续完成步骤以动画展示完成效果；要求竞赛展示界面包括塔形图、比赛倒计时、步骤完成信息统计表、通知栏、比赛排名等内容；要求提供截图证明图片； </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6.要求竞赛展示界面中心是动态积分图，积分图由子积分图和总积分塔组成，要求以积分累计的过程模拟学生比赛过程，当完成步骤后子积分图动态展示，积分总塔累计总完成情况，要求支持语音播报效果通知；要求后续完成步骤以动画展示完成效果；要求竞赛展示界面包括积分图、比赛倒计时、步骤完成信息统计表、通知栏、比赛排名、解题个数分配图等内容；要求提供截图证明图片。</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(二)</w:t>
      </w:r>
      <w:r>
        <w:rPr>
          <w:rStyle w:val="6"/>
          <w:rFonts w:hint="eastAsia" w:ascii="宋体" w:hAnsi="宋体" w:eastAsia="宋体" w:cs="宋体"/>
          <w:sz w:val="19"/>
          <w:szCs w:val="19"/>
        </w:rPr>
        <w:t>大数据云计算设备（控制器1台+节点3台）</w:t>
      </w:r>
    </w:p>
    <w:p>
      <w:pPr>
        <w:pStyle w:val="3"/>
        <w:keepNext w:val="0"/>
        <w:keepLines w:val="0"/>
        <w:widowControl/>
        <w:suppressLineNumbers w:val="0"/>
        <w:spacing w:before="0" w:beforeAutospacing="0" w:after="135" w:afterAutospacing="0"/>
        <w:ind w:left="0" w:right="0"/>
        <w:jc w:val="left"/>
      </w:pPr>
      <w:r>
        <w:rPr>
          <w:rFonts w:hint="eastAsia" w:ascii="宋体" w:hAnsi="宋体" w:eastAsia="宋体" w:cs="宋体"/>
          <w:sz w:val="19"/>
          <w:szCs w:val="19"/>
        </w:rPr>
        <w:t xml:space="preserve">控制器参数： </w:t>
      </w: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spacing w:before="0" w:beforeAutospacing="0" w:after="135" w:afterAutospacing="0"/>
        <w:ind w:left="720"/>
        <w:jc w:val="left"/>
        <w:rPr>
          <w:b w:val="0"/>
          <w:i w:val="0"/>
          <w:color w:val="000000"/>
          <w:sz w:val="21"/>
          <w:szCs w:val="21"/>
        </w:rPr>
      </w:pPr>
      <w:r>
        <w:rPr>
          <w:rFonts w:hint="eastAsia" w:ascii="宋体" w:hAnsi="宋体" w:eastAsia="宋体" w:cs="宋体"/>
          <w:b w:val="0"/>
          <w:i w:val="0"/>
          <w:color w:val="000000"/>
          <w:sz w:val="19"/>
          <w:szCs w:val="19"/>
        </w:rPr>
        <w:t xml:space="preserve">≥2U机架式，实配≥2颗处理器。要求：IntelXeonSP系列处理器，性能≥2.2GHz/10核，配置原厂导轨和面板；配置≥8*32GB DDR4- 2666P内存。支持≥24个DIMM内存插槽；实配一块RAID卡，配置≥2GB缓存，配置≥4千兆电口，配置≥1块1TB PCIe*Gen3 NVMe SSD硬盘，≥1块2TB 7.2k 2.5in HDD通用硬盘。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最大支持≥10个PCIe 3.0扩展槽，最大支持≥3块双宽GPU卡或8块单宽GPU卡；配置≥5个 USB 3.0 端口，并且具备USB口扩展能力；标配≥2个电源模块。要求：支持1+1通用接口热插拔高效电源模块。电源功率≥550 W；硬件集成1个独立管理GE端口，（1）实现虚拟介质、远程控制台、虚拟KVM功能；（2）必须支持同时多人进行远程控制，以协同工作，无需另配远程控制卡；（3）支持针对整台服务器的温度高低分布3D显示；（4）支持网络防火墙功能；（5）支持本地、远程批量的驱动及固件更新；支持最高5-50°C标准工作温度。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可配置机箱入侵侦测，在外部打开机箱时提供报警功能，提供官网链接及截图证明。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为保障主机安全性，支持安全智能模块，支持防火墙、IPS、防病毒和QoS的安全功能，提供官网链接及截图证明。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设备使用位置地处地震带，且服务器所带业务关键，投标人须提供CNAS认证的检测机构出具的9级烈度抗震完整检测报告复印件证明。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216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投标产品制造厂商应具有完善的服务体系，专业的服务专业队伍，健全的服务制度和质量监测体系。通过服务体系完善程度七星级认证，要求提供证书复印件。 </w:t>
      </w:r>
    </w:p>
    <w:p>
      <w:pPr>
        <w:keepNext w:val="0"/>
        <w:keepLines w:val="0"/>
        <w:widowControl/>
        <w:numPr>
          <w:ilvl w:val="0"/>
          <w:numId w:val="1"/>
        </w:numPr>
        <w:suppressLineNumbers w:val="0"/>
        <w:spacing w:before="0" w:beforeAutospacing="1" w:after="0" w:afterAutospacing="1"/>
        <w:ind w:left="216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节点参数： </w:t>
      </w:r>
    </w:p>
    <w:p>
      <w:pPr>
        <w:keepNext w:val="0"/>
        <w:keepLines w:val="0"/>
        <w:widowControl/>
        <w:numPr>
          <w:ilvl w:val="0"/>
          <w:numId w:val="1"/>
        </w:numPr>
        <w:suppressLineNumbers w:val="0"/>
        <w:spacing w:before="0" w:beforeAutospacing="1" w:after="0" w:afterAutospacing="1"/>
        <w:ind w:left="216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spacing w:before="0" w:beforeAutospacing="0" w:after="135" w:afterAutospacing="0"/>
        <w:ind w:left="720"/>
        <w:jc w:val="left"/>
        <w:rPr>
          <w:b w:val="0"/>
          <w:i w:val="0"/>
          <w:color w:val="000000"/>
          <w:sz w:val="21"/>
          <w:szCs w:val="21"/>
        </w:rPr>
      </w:pPr>
      <w:r>
        <w:rPr>
          <w:rFonts w:hint="eastAsia" w:ascii="宋体" w:hAnsi="宋体" w:eastAsia="宋体" w:cs="宋体"/>
          <w:b w:val="0"/>
          <w:i w:val="0"/>
          <w:color w:val="000000"/>
          <w:sz w:val="19"/>
          <w:szCs w:val="19"/>
        </w:rPr>
        <w:t xml:space="preserve">≥2U机架式，实配≥2颗处理器。要求：IntelXeonSP系列处理器，性能≥2.2GHz/10核，配置原厂导轨和面板；配置≥8*32GB DDR4- 2666P内存。支持≥24个DIMM内存插槽；实配一块RAID卡，配置≥2GB缓存；配置≥4千兆电口；配置≥1块1TB PCIe*Gen3 NVMe SSD硬盘；最大支持≥10个PCIe 3.0扩展槽，最大支持≥3块双宽GPU卡或8块单宽GPU卡。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配置≥5个 USB 3.0 端口，并且具备USB口扩展能力；标配≥2个电源模块。要求：支持1+1通用接口热插拔高效电源模块。电源功率≥550 W。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 xml:space="preserve">硬件集成1个独立管理GE端口，（1）实现虚拟介质、远程控制台、虚拟KVM功能；（2）必须支持同时多人进行远程控制，以协同工作，无需另配远程控制卡；（3）支持针对整台服务器的温度高低分布3D显示；（4）支持网络防火墙功能；（5）支持本地、远程批量的驱动及固件更新；支持最高5-50°C标准工作温度。 </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为保障主机安全性，支持安全智能模块，支持防火墙、IPS、防病毒和QoS的安全功能，提供官网链接及截图证明。</w:t>
      </w:r>
    </w:p>
    <w:p>
      <w:pPr>
        <w:keepNext w:val="0"/>
        <w:keepLines w:val="0"/>
        <w:widowControl/>
        <w:numPr>
          <w:ilvl w:val="0"/>
          <w:numId w:val="1"/>
        </w:numPr>
        <w:suppressLineNumbers w:val="0"/>
        <w:spacing w:before="0" w:beforeAutospacing="1" w:after="0" w:afterAutospacing="1"/>
        <w:ind w:left="1440" w:hanging="360"/>
      </w:pP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ind w:left="720"/>
        <w:jc w:val="left"/>
        <w:rPr>
          <w:color w:val="000000"/>
        </w:rPr>
      </w:pPr>
      <w:r>
        <w:rPr>
          <w:rFonts w:hint="eastAsia" w:ascii="宋体" w:hAnsi="宋体" w:eastAsia="宋体" w:cs="宋体"/>
          <w:color w:val="000000"/>
          <w:sz w:val="19"/>
          <w:szCs w:val="19"/>
        </w:rPr>
        <w:t>投标产品厂商在产品规划、研发、生产、过程需采取有效减少温室气体排放措施，符合国家温室气体排放和清除的量化和报告的规范。产品生产厂商需通过ISO 14064温室气体核查，要求提供报告复印件。</w:t>
      </w:r>
    </w:p>
    <w:p>
      <w:pPr>
        <w:keepNext w:val="0"/>
        <w:keepLines w:val="0"/>
        <w:widowControl/>
        <w:numPr>
          <w:ilvl w:val="0"/>
          <w:numId w:val="1"/>
        </w:numPr>
        <w:suppressLineNumbers w:val="0"/>
        <w:spacing w:before="0" w:beforeAutospacing="1" w:after="0" w:afterAutospacing="1"/>
        <w:ind w:left="1440" w:hanging="360"/>
      </w:pPr>
    </w:p>
    <w:p>
      <w:pPr>
        <w:pStyle w:val="3"/>
        <w:keepNext w:val="0"/>
        <w:keepLines w:val="0"/>
        <w:widowControl/>
        <w:suppressLineNumbers w:val="0"/>
        <w:jc w:val="left"/>
        <w:rPr>
          <w:color w:val="000000"/>
        </w:rPr>
      </w:pPr>
      <w:r>
        <w:rPr>
          <w:rStyle w:val="6"/>
          <w:rFonts w:hint="eastAsia" w:ascii="宋体" w:hAnsi="宋体" w:eastAsia="宋体" w:cs="宋体"/>
          <w:color w:val="000000"/>
          <w:sz w:val="19"/>
          <w:szCs w:val="19"/>
        </w:rPr>
        <w:t>(三) 接入交换机</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 xml:space="preserve">1. 交换容量≥3.36Tbps，转发性能≥126Mpps ；路由表容量≥1K（支持OSPF），MAC地址表＞=16K；端口数≥24个GE端口，≥4个万兆SFP+口。 </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 xml:space="preserve">2. 实现CPU保护功能，能限制非法报文对CPU的攻击，保护交换机在各种环境下稳定工作。 </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 xml:space="preserve">3. 支持跨设备链路聚合，单一IP管理，分布式弹性路由，支持通过标准以太端口进行堆叠；支持横向虚拟化和纵向虚拟化功能；支持基于端口的VLAN，支持基于协议的VLAN；支持基于MAC的VLAN；最大VLAN数(不是VLAN ID)＞=4094；支持本地端口镜像和远程端口镜像RSPAN；支持流镜像；同时支持N：M的端口镜像（M大于1）；支持IGMP v1/v2/v3，MLD v1/v2；支持PIM Snooping；支持MSDP，MSDP for IPv6；支持MBGP，MBGP for Ipv6；支持OPENFLOW 1.3标准支持普通模式和Openflow 模式切换；支持IPv4静态路由、RIP V1/V2、OSPF；支持IPv6静态路由、RIPng；支持RRPP（快速环网保护协议），环网故障恢复时间不超过50ms；支持RSTP功能：收敛时间≤50ms；支持PVST功能：收敛时间≤50ms；支持SNMP V1/V2/V3、RMON、SSHV2；支持OAM(802.1AG，802.3AH)以太网运行、维护和管理标准。 </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4. 为了避免强雷雨天气，设备遭受雷击损坏。要求设备端口具备10KV抗雷击；符合IEEE 802.3az（EEE）节能标准，支持端口休眠，关闭没有应用的端口，节省能源。</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 xml:space="preserve">5. 支持DLDP，支持虚拟电缆检测(Virtual Cable Test) 为简化设备配置，实现网络管理可视化，避免投资浪费，要求设备内置智能网络管理模块：全网拓扑自动生成功能、配置文件备份,升级，并且可以通过一键布防的端口来访问智能管理中心网络内部。 </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6. 配置≥2个万兆单模光模块。</w:t>
      </w:r>
    </w:p>
    <w:p>
      <w:pPr>
        <w:pStyle w:val="3"/>
        <w:keepNext w:val="0"/>
        <w:keepLines w:val="0"/>
        <w:widowControl/>
        <w:suppressLineNumbers w:val="0"/>
        <w:jc w:val="left"/>
        <w:rPr>
          <w:color w:val="000000"/>
        </w:rPr>
      </w:pPr>
      <w:r>
        <w:rPr>
          <w:rStyle w:val="6"/>
          <w:rFonts w:hint="eastAsia" w:ascii="宋体" w:hAnsi="宋体" w:eastAsia="宋体" w:cs="宋体"/>
          <w:color w:val="000000"/>
          <w:sz w:val="19"/>
          <w:szCs w:val="19"/>
        </w:rPr>
        <w:t>(四) 网络系统集成</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服务器及交换机上架等安装调试；6芯单模光纤≥70米；单模3米LC-LC 6对； LC-LC耦合器3个；12口光纤盒 （LC-LC 耦合器3个，熔接12芯），六类网线≥50米，水晶头，服务器强电扩容(10平5线 40米，18位配电箱，63a3+n漏保一个。空开1p40a4个。pdu32a2个rvv3x6 20米,)等辅材。</w:t>
      </w:r>
    </w:p>
    <w:p>
      <w:pPr>
        <w:pStyle w:val="3"/>
        <w:keepNext w:val="0"/>
        <w:keepLines w:val="0"/>
        <w:widowControl/>
        <w:suppressLineNumbers w:val="0"/>
        <w:jc w:val="left"/>
        <w:rPr>
          <w:color w:val="000000"/>
        </w:rPr>
      </w:pPr>
      <w:r>
        <w:rPr>
          <w:rStyle w:val="6"/>
          <w:rFonts w:hint="eastAsia" w:ascii="宋体" w:hAnsi="宋体" w:eastAsia="宋体" w:cs="宋体"/>
          <w:color w:val="000000"/>
          <w:sz w:val="19"/>
          <w:szCs w:val="19"/>
        </w:rPr>
        <w:t>(五)大数据教学平台管理系统</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1.提供基本的用户管理功能，一般分管理员、教师和学生三种角色；管理员对整个系统进行管理，教师管理课程和学生，学生进行学习和实验； 2.学生管理：教师或管理员对学生的增、删、改、查操作，学生用户支持批量Excel导入；提供考勤功能，准确记录学生的在线率与离线率； 3.个人信息管理：用户登录后修改密码等信息； 4.要求实操实验支持实验任务卡功能，任务卡包括课程步骤数量、本节课的考核步骤数量、对应考核步骤与考核题目、综合检测与实验总结状态；要求支持将已通过步骤与未通过步骤以不同颜色及形状进行直观展示；要求在任务卡功能支持“开始实验”按钮，当用户点击后平台自动开启实验虚拟机；要求提供截图证明图片； 5.实验步骤监控：学生在平台上学习的时间、各个实验完成的步骤数据，可以监控和查询，并将这些历史数据保存，供后续分析； 6.要求实操实验虚拟机信息包括操作环境列表、网络列表；操作环境至少支持虚拟机、container、Jupyter、WebIDE等；要求虚拟机配置信息包括名字、镜像、配置、连接方式、网络；container配置信息包括名字、镜像、配置、连接方式、网络、CMD、ENV; 要求镜像选择与镜像管理列表相关联；要求连接方式分为Web_vnc与direct_rdp；要求Jupyter配置信息包括名字、配置、网络、编程语言等；要求WebIDE配置信息包括名字、网络、添加项目等；要求提供截图证明图片； 7.实验报告功能：根据实验的要求，自动生成实验报告模板。完成实验后，系统自动生成实验报告，学生可在实验报告中增加文字或截图等信息，最后可提交报告给教师批阅； 8.实验自动评分：根据学生成功完成实验步骤的情况，系统自动给出一个标准的评分。教师批阅时，可在此基础上根据实际情况适当修改成绩； 9.实验成绩报表功能：单次或整个学期的实验作业成绩Excel导出； 10.实验教学管理功能：支持教师从班级整体以及学生个人的维度，查看学习进度、学习成绩、练习时长、考勤、作业、随堂测试、实验报告息等学习情况； 11.桌面开发支持：大数据实验中的一些编程环节，虚拟机能提供桌面环境下的IDE开发环境； 12.考试功能：教师可组织考试，支持的题型包括单项选择、多项选择、填空、操作题等； 13.考试支持自动评分；若填空题有多种答案，教师可以对自动评分结果进行调整； 14.题库的支持，考核过的题目保存在题库，可以供以后测试使用。提供题库管理功能，支持单选、多选 、判断、实操练习题等多种题型题目的管理，支持批量导入题目，可一键上传试题； 15.考试成绩分析与统计：考试评分后，对各个题目的正确率、错误率、平均分等数据的自动统计功能； 16.后台环境资源监控：能够显示服务器资源实时使用的情况；（对于基于云端架构的系统要提供虚拟化资源池功能，通过虚拟化和云计算技术，将CPU、内存、I/O等服务器物理资源转化为可统一管理、调度和分配的逻辑资源池；对于C/S架构的系统不做上述要求）；支持按照上课实验环境要求，全自动生成、调配、回收虚拟机； 17.用户资源使用记录：哪些用户使用了较多的资源，供用户分析； 18.资源使用统计：CPU、内存等资源在一周、一月甚至一学期的使用率曲线，供数据分析。 19.要求班级实验进度中所有的实验步骤以动态的形式显示完成百分比，且始终保持动态波浪的效果；要求支持点击步骤时，展示的内容至少包括展示步骤数与步骤题目、平均用时精确到秒级单位、用时分布图以蓝色折线图呈现、通过率与提交平均率以蓝色环状图配百分比的方式呈现，知识点错误率以进度条配百分比的形式呈现；要求提供截图证明图片 20.支持对实验全部步骤的数据分析，数据分析支持可视化的形式展示，步骤完成以绿色图标配对号表示，未完成以蓝色圆状表示，班级进度排名以分数的格式展示，学习时长的时间具体到分钟，且针对实验步骤与综合测验的统计分析，具体到时分的格式显示出完成用时，蓝色环状图配百分比的形式表达出个人正确率、班级正确率与全站正确率，以分数的形式表达出班级正确率与全站正确率，知识点错误率以进度条配百分比的形式展现，综合测验显示出学生答题情况与答案解析，针对于实验总结的分析数据，以具体到分钟的时间格式展示出完成用时，字数统计展示出具体字数，根据词语出现频率展示出热品词云图；要求提供截图证明图片。</w:t>
      </w:r>
    </w:p>
    <w:p>
      <w:pPr>
        <w:pStyle w:val="3"/>
        <w:keepNext w:val="0"/>
        <w:keepLines w:val="0"/>
        <w:widowControl/>
        <w:suppressLineNumbers w:val="0"/>
        <w:jc w:val="left"/>
        <w:rPr>
          <w:color w:val="000000"/>
        </w:rPr>
      </w:pPr>
      <w:r>
        <w:rPr>
          <w:rStyle w:val="6"/>
          <w:rFonts w:hint="eastAsia" w:ascii="宋体" w:hAnsi="宋体" w:eastAsia="宋体" w:cs="宋体"/>
          <w:color w:val="000000"/>
          <w:sz w:val="19"/>
          <w:szCs w:val="19"/>
        </w:rPr>
        <w:t>(六) 大数据课程资源（10门课程）</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（1）、大数据技术原理课程 本课程包括不少于以下16个实验项目； 提供不少于80道测试题（平均每个实验5题），不少于32个实验题（平均每个实验2题）； 每个实验项目均包含实验实验手册、操作视频和PPT等 1. Linux基本操作 2.虚拟机安装配置 3.Hadoop环境安装 4.HDFS Shell操作 5.HDFS API 6.HBase环境配置 7.HBase Shell 8.HBase API 9.MapReduce编程实践 10.Pig数据处理 11. Hive数据处理 12. Spark RDD基础应用 13. Spark SQL操作 14. Spark Streaming流计算 15. Spark Streaming应用 16. Spark ML应用</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（2）、Python程序课程 本课程实验环境为可扩展的python3+pycharm环境； 包括不少于以下11个实验项目； 提供不少于55道测试题（平均每个实验5题），不少于22个实验题（平均每个实验2题）； 每个实验项目均包含实验实验手册、操作视频和PPT等 1.基础知识 2.序列 3.流程控制语句 4.函数 5.面向对象 6.异常 7.生成器、迭代器与装饰器 8.数据库读写（Mysql） 9.Numpy+Pandas数据分析 10.matplotlib绘图包 11.django框架与flask框架</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（3）、数据采集技术课程 本课程实验环境为可扩展的python3+pycharm 环境； 包括不少于以下6个实验项目； 提供不少于30道测试题（平均每个实验5题），不少于12个实验题（平均每个实验2题）； 每个实验项目均包含实验实验手册、操作视频和PPT等 1.开发环境熟悉 2.正则表达式与Xpath 3.urlib与beautiful soap 4.python scrapy框架 5.scrapy与数据库（Mysql+Hive） 6.python网站数据爬取</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（4）、数据存储与管理课程 本课程包括不少于以下15个实验项目； 提供不少于75道测试题（平均每个实验5题），不少于30个实验题（平均每个实验2题）； 每个实验项目均包含实验实验手册、操作视频和PPT等 1. HDFS操作 2. Pig的安装与运行 3. Pig基本命令与操作 4. Pig Latin数据处理 5. Hive数据处理分析 6. Hive数据的导入导出 7. HQL 8. DDL、DML 9. HBase安装与运行 10. HBase shell 11. HBase 数据分析 12. HBase Java API 13. HBase 选课案例 14. HBase 微博案例 15. Sqoop数据迁移</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（5）、数据挖掘与分析课程 本课程包括不少于以下13个实验项目； 提供不少于65道测试题（平均每个实验5题），不少于26个实验题（平均每个实验2题）； 每个实验项目均包含实验实验手册、操作视频和PPT等 1.Spark架构 2.Spark算子分类 3.Spark核心组件 4.决策树 5.K近邻分类算法 6.支持向量机 7.Mahout简介 8.推荐算法 9.聚类算法 10.分类算法 11.描述性统计 12.置信区间和假设检验 13.线性回归模型</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（6）、大数据开发技术课程 hadoop、zookeeper、flume、sqoop、spark、scala、mysql、hbase、hive、Impala、kafka、Spark mllib、Spark Streaming、ElasticSearch、storm、mahout、Idea+pycharm。环境有扩展性，可以让老师自己安装或更换软件。 包括不少于以下11个实验项目； 提供不少于55道测试题（平均每个实验5题），不少于22个实验题（平均每个实验2题）； 1.scala语言基础 2.Spark概述 3.Spark环境搭建(python+scala+java) 4.RDD编程+Hbase 5.Spark SQL/Impala/Hive 6.Spark Streaming+Kafka 7.Spark MLlib 8.集群管理Storm 9.ElasticSearch+Spark/Hbase+Spark 10.综合实例：Spark Streaming + Kafka + Flume等 11.Spark+Hive UDF</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（7）、机器学习课程 本课程为文本类实验与实操类实验，实验环境为Jupyter及Python。 包括不少于以下7个实验项目； 提供不少于35道测试题（平均每个实验5题），不少于14个实验题（平均每个实验2题）； 1.聚类 2.分类算法 3.决策树 4.线性回归 5.贝叶斯 6.支持向量机SVM 7.卷积神经网络的实现</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（8）、数据可视化技术课程 本课程包括不少于以下9个实验项目； 提供不少于45道测试题（平均每个实验5题），不少于18个实验题（平均每个实验2题）； 1.Python绘制折线图 2.SAS绘制散点图 3.Python绘制饼状图 4.Python绘制柱状图 5.Python绘图区域分隔 6.R语言绘制地图与热力图 7.SAS绘制箱型图 8.R语言绘制树形图 9.R语言绘制直方图</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（9）、大数据综合项目课程 包含金融、体育、电商、医疗、市场营销、交通、房地产、航空、社交、互联网舆情等十个行业中，不少于4个行业的8个及以上综合项目。不少于64学时的总实验授课内容. 每个综合实验要有: 1.完整的数据及可操作的实验环境 2.实验大纲、实验指导手册及教学PPT 3.可对学生实验结果进行量化考核的自动评价模块. 4.不少于5道测试题，不少于4个实验题。</w:t>
      </w:r>
    </w:p>
    <w:p>
      <w:pPr>
        <w:pStyle w:val="3"/>
        <w:keepNext w:val="0"/>
        <w:keepLines w:val="0"/>
        <w:widowControl/>
        <w:suppressLineNumbers w:val="0"/>
        <w:jc w:val="left"/>
        <w:rPr>
          <w:color w:val="000000"/>
        </w:rPr>
      </w:pPr>
      <w:r>
        <w:rPr>
          <w:rFonts w:hint="eastAsia" w:ascii="宋体" w:hAnsi="宋体" w:eastAsia="宋体" w:cs="宋体"/>
          <w:color w:val="000000"/>
          <w:sz w:val="19"/>
          <w:szCs w:val="19"/>
        </w:rPr>
        <w:t>（10）、统计分析与行业应用课程 本课程包括不少于以下8个实验项目； 提供不少于40道测试题（平均每个实验5题），不少于16个实验题（平均每个实验2题）； 1.R语言入门和Rstudio的使用 2.R的数据组织 3.R的数据整理和编程基础-数据整合、重组、筛选缺失值和异常值处理等 4.R的基本分析和统计图形 5.R的相关分析、线性回归分析 6.R的对比分析、分组分析、分布分析、交叉分析等 7.R的结构分析 8.R的简单新型和多重回归分析。</w:t>
      </w:r>
    </w:p>
    <w:p>
      <w:pPr>
        <w:pStyle w:val="3"/>
        <w:keepNext w:val="0"/>
        <w:keepLines w:val="0"/>
        <w:widowControl/>
        <w:suppressLineNumbers w:val="0"/>
      </w:pPr>
      <w: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1、交付地点：福建省泉州市丰泽区东海大街398号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2、交付时间：合同签订后 ( 60) 天内交货</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3、交付条件：经采购人最终验收合格后</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5%。说明：成交人在签订合同前应向采购人缴纳合同金额5%的履约及质量保证金。该保证金在成交人供应的货物全部验收合格后质保期期满且无质量及售后服务问题时15个工作日内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6、验收方式数据表格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1、项目具备验收条件后，投标人应向采购人提出验收请求并提供完整的项目交接资料及交接报告。 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 3、投标人在接到采购人的修改意见后，应在10天内（当事人另行商定的时间除外）负责处理，否则，即视为默认采购人提出的异议和处理意见。 4、验收标准：招标文件和合同规定的技术要求、规格质量及其它要求，生产厂家的产品说明书、合格证书及技术资料等；国家现行规范；当地监督管理部门要求的安全规范以及采购文件的规定。 5、验收小组：需3人以上（含3人）单数。 6、投标人不得虚报各项技术指标，中标产品若不能符合技术要求，采购人有权解除合同，并向政府采购管理部门通报，因此给采购人造成的一切损失，由投标人承担。 7、培训：投标人应结合本次采购的货物，有计划地对采购人派出管理、维护及使用人员进行安装现场的基本知识、使用、维护与保养技术的培训。 8、技术资料要求：（1）包装和装箱的详细情况说明；（2）投标人应向采购人提供完整的技术资料1套（包括技术说明书、使用说明书、维修手册、安装维修手册、操作手册、常用易消耗品单价等）。</w:t>
            </w:r>
          </w:p>
        </w:tc>
      </w:tr>
    </w:tbl>
    <w:p>
      <w:pPr>
        <w:keepNext w:val="0"/>
        <w:keepLines w:val="0"/>
        <w:widowControl/>
        <w:suppressLineNumbers w:val="0"/>
        <w:jc w:val="left"/>
      </w:pPr>
      <w:r>
        <w:rPr>
          <w:rFonts w:ascii="宋体" w:hAnsi="宋体" w:eastAsia="宋体" w:cs="宋体"/>
          <w:kern w:val="0"/>
          <w:sz w:val="24"/>
          <w:szCs w:val="24"/>
          <w:lang w:val="en-US" w:eastAsia="zh-CN" w:bidi="ar"/>
        </w:rPr>
        <w:t xml:space="preserve">7、支付方式数据表格 </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1、所有货款均由泉州师范学院支付； 2、支付货款时应提供的资料：《泉州师范学院物资采购申请表》、成交通知书、采购验收单及合同的原件，正式的完税税务发票复印件（均应加盖财务专用章）和政府采购计划表（政府采购系统上打印）。 3、进口设备由外贸代理公司负责提供设备的免表原件、进口货值发票原件、海关报关单复印件、银行购汇水单复印件及代理费发票等相关材料（复印件需加盖公章）。 4、付款：在所有货物经安装调试试运行完毕，经最终验收合格后付清100%货款。 5、投标人、收款单位、购货票证开票单位三者应一致，投标人收款帐号应为中国人民银行批准的基本帐户。</w:t>
            </w:r>
          </w:p>
        </w:tc>
      </w:tr>
    </w:tbl>
    <w:p>
      <w:pPr>
        <w:pStyle w:val="3"/>
        <w:keepNext w:val="0"/>
        <w:keepLines w:val="0"/>
        <w:widowControl/>
        <w:suppressLineNumbers w:val="0"/>
        <w:spacing w:line="465" w:lineRule="atLeast"/>
        <w:ind w:left="0" w:firstLine="420"/>
      </w:pPr>
      <w:r>
        <w:rPr>
          <w:rFonts w:hint="eastAsia" w:ascii="宋体" w:hAnsi="宋体" w:eastAsia="宋体" w:cs="宋体"/>
          <w:sz w:val="24"/>
          <w:szCs w:val="24"/>
        </w:rPr>
        <w:t>8.售后 服务要求</w:t>
      </w:r>
      <w:r>
        <w:rPr>
          <w:rFonts w:hint="eastAsia" w:ascii="宋体" w:hAnsi="宋体" w:eastAsia="宋体" w:cs="宋体"/>
          <w:sz w:val="21"/>
          <w:szCs w:val="21"/>
        </w:rPr>
        <w:br w:type="textWrapping"/>
      </w:r>
      <w:r>
        <w:rPr>
          <w:rFonts w:hint="eastAsia" w:ascii="宋体" w:hAnsi="宋体" w:eastAsia="宋体" w:cs="宋体"/>
          <w:sz w:val="21"/>
          <w:szCs w:val="21"/>
        </w:rPr>
        <w:t>   8.1、投标人对提供的货物或服务，因产品及服务质量、或知识产权纠纷等问题，必须提供保修、包换、包退等服务。</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8.2、货物安装调试合格后，制造商（或供应 商）负责对用户技术人员进行免费现场培训，培训内容包括系统的功能、原理、使用与维护等，培训日程视实际情况另定。</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8.3、质量期：乙方所供货物（设备、货物或服务）质保期自最终验收合格之日起开始计算，投标人需保证免费质保期至少为12个月。乙方在接到用户设备故障电话通知起，由于故障而无法工作超过3天，质保期自动延长相应天数（延长天数从故障电话通知之日开始计算）。</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8.4、质保期内货物一旦出现故障，乙方响应时间不超过4小时，检修人员在2个工作日内到设备安装地点及时排除故障，技术人员在12小时内完成系统恢复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8.5、履行所承诺的其他服务条款。</w:t>
      </w:r>
    </w:p>
    <w:p>
      <w:pPr>
        <w:pStyle w:val="3"/>
        <w:keepNext w:val="0"/>
        <w:keepLines w:val="0"/>
        <w:widowControl/>
        <w:suppressLineNumbers w:val="0"/>
        <w:spacing w:line="465" w:lineRule="atLeast"/>
      </w:pPr>
      <w:r>
        <w:rPr>
          <w:rFonts w:hint="eastAsia" w:ascii="宋体" w:hAnsi="宋体" w:eastAsia="宋体" w:cs="宋体"/>
          <w:sz w:val="24"/>
          <w:szCs w:val="24"/>
        </w:rPr>
        <w:t> 9.验收要求</w:t>
      </w:r>
      <w:r>
        <w:rPr>
          <w:rStyle w:val="6"/>
          <w:rFonts w:hint="eastAsia" w:ascii="宋体" w:hAnsi="宋体" w:eastAsia="宋体" w:cs="宋体"/>
          <w:sz w:val="21"/>
          <w:szCs w:val="21"/>
        </w:rPr>
        <w:t>（以下为通用验收条款，若有其他要求，请补充）</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9.1、项目具备验收条件后，投标人应向采购人提出验收请求并提供完整的项目交接资料及交接报告。</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9.2、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9.3、投标人在接到采购人的修改意见后，应在10天内（当事人另行商定的时间除外）负责处理，否则，即视为默认采购人提出的异议和处理意见。</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9.4、验收标准：招标文件和合同规定的技术要求、规格质量及其它要求，生产厂家的产品说明书、合格证书及技术资料等；国家现行规范；当地监督管理部门要求的安全规范以及采购文件的规定。</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9.5、验收小组：需3人以上（含3人）单数。</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9.6、投标人不得虚报各项技术指标，中标产品若不能符合技术要求，采购人有权解除合同，并向政府采购管理部门通报，因此给采购人造成的一切损失，由投标人承担。</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9.7、培训：投标人应结合本次采购的货物，有计划地对采购人派出管理、维护及使用人员进行安装现场的基本知识、使用、维护与保养技术的培训。</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9.8、技术资料要求：（1）包装和装箱的详细情况说明；（2）投标人应向采购人提供完整的技术资料1套（包括技术说明书、使用说明书、维修手册、安装维修手册、操作手册、常用易消耗品单价等）。</w:t>
      </w:r>
    </w:p>
    <w:p>
      <w:pPr>
        <w:pStyle w:val="3"/>
        <w:keepNext w:val="0"/>
        <w:keepLines w:val="0"/>
        <w:widowControl/>
        <w:suppressLineNumbers w:val="0"/>
        <w:spacing w:line="465" w:lineRule="atLeast"/>
      </w:pPr>
      <w:r>
        <w:rPr>
          <w:rFonts w:hint="eastAsia" w:ascii="宋体" w:hAnsi="宋体" w:eastAsia="宋体" w:cs="宋体"/>
          <w:sz w:val="24"/>
          <w:szCs w:val="24"/>
        </w:rPr>
        <w:t>10.付款要求</w:t>
      </w:r>
      <w:r>
        <w:rPr>
          <w:rStyle w:val="6"/>
          <w:rFonts w:hint="eastAsia" w:ascii="宋体" w:hAnsi="宋体" w:eastAsia="宋体" w:cs="宋体"/>
          <w:sz w:val="21"/>
          <w:szCs w:val="21"/>
        </w:rPr>
        <w:t>（以下为通用付款程序，若有其他需求请列出）</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10.1、所有货款均由泉州师范学院支付；</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10.2、支付货款时应提供的资料：《泉州师范学院物资采购申请表》、成交通知书、采购验收单及合同的原件，正式的完税税务发票复印件（均应加盖财务专用章）和政府采购计划表（政府采购系统上打印）。</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10.3、进口设备由外贸代 理公司负责提供设备的免表原件、进口货值发票原件、海关报关单复印件、银行购汇水单复印件及代 理费发票等相关材料（复印件需加盖公章）。</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10.4、付款：在所有货物经安装调试试运行完毕，经最终验收合格后付清100%货款。</w:t>
      </w:r>
    </w:p>
    <w:p>
      <w:pPr>
        <w:pStyle w:val="3"/>
        <w:keepNext w:val="0"/>
        <w:keepLines w:val="0"/>
        <w:widowControl/>
        <w:suppressLineNumbers w:val="0"/>
        <w:spacing w:line="465" w:lineRule="atLeast"/>
        <w:ind w:left="0" w:firstLine="420"/>
      </w:pPr>
      <w:r>
        <w:rPr>
          <w:rFonts w:hint="eastAsia" w:ascii="宋体" w:hAnsi="宋体" w:eastAsia="宋体" w:cs="宋体"/>
          <w:sz w:val="21"/>
          <w:szCs w:val="21"/>
        </w:rPr>
        <w:t>10.5、投标人、收款单位、购货票证开票单位三者应一致，投标人收款帐号应为中国人民银行批准的基本帐户。</w:t>
      </w:r>
    </w:p>
    <w:p>
      <w:pPr>
        <w:pStyle w:val="3"/>
        <w:keepNext w:val="0"/>
        <w:keepLines w:val="0"/>
        <w:widowControl/>
        <w:suppressLineNumbers w:val="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after="150" w:afterAutospacing="0"/>
      </w:pPr>
      <w:r>
        <w:rPr>
          <w:rFonts w:hint="eastAsia" w:ascii="宋体" w:hAnsi="宋体" w:eastAsia="宋体" w:cs="宋体"/>
          <w:sz w:val="21"/>
          <w:szCs w:val="21"/>
        </w:rPr>
        <w:t>1、除招标文件另有规定外，若出现有关法律、法规和规章有强制性规定但招标文件未列明的情形，则投标人应按照有关法律、法规和规章强制性规定执行。</w:t>
      </w:r>
    </w:p>
    <w:p>
      <w:pPr>
        <w:pStyle w:val="3"/>
        <w:keepNext w:val="0"/>
        <w:keepLines w:val="0"/>
        <w:widowControl/>
        <w:suppressLineNumbers w:val="0"/>
        <w:spacing w:after="150" w:afterAutospacing="0"/>
      </w:pPr>
      <w:r>
        <w:rPr>
          <w:rFonts w:hint="eastAsia" w:ascii="宋体" w:hAnsi="宋体" w:eastAsia="宋体" w:cs="宋体"/>
          <w:sz w:val="21"/>
          <w:szCs w:val="21"/>
        </w:rPr>
        <w:t>2、其他：</w:t>
      </w:r>
    </w:p>
    <w:p>
      <w:pPr>
        <w:pStyle w:val="3"/>
        <w:keepNext w:val="0"/>
        <w:keepLines w:val="0"/>
        <w:widowControl/>
        <w:suppressLineNumbers w:val="0"/>
        <w:spacing w:after="150" w:afterAutospacing="0"/>
      </w:pPr>
      <w:r>
        <w:rPr>
          <w:rFonts w:hint="eastAsia" w:ascii="宋体" w:hAnsi="宋体" w:eastAsia="宋体" w:cs="宋体"/>
          <w:sz w:val="21"/>
          <w:szCs w:val="21"/>
        </w:rPr>
        <w:t>1）、采购人应当自成交通知书发出之日起30日内，按照招标文件和成交人投标文件的规定，与成交人签订合同，并在福建省政府采购网（泉州市）上发布合同公告。</w:t>
      </w:r>
    </w:p>
    <w:p>
      <w:pPr>
        <w:pStyle w:val="3"/>
        <w:keepNext w:val="0"/>
        <w:keepLines w:val="0"/>
        <w:widowControl/>
        <w:suppressLineNumbers w:val="0"/>
        <w:spacing w:after="150" w:afterAutospacing="0"/>
      </w:pPr>
      <w:r>
        <w:rPr>
          <w:rFonts w:hint="eastAsia" w:ascii="宋体" w:hAnsi="宋体" w:eastAsia="宋体" w:cs="宋体"/>
          <w:sz w:val="21"/>
          <w:szCs w:val="21"/>
        </w:rPr>
        <w:t>2）、质疑函的格式应当参照财政部官方网站提供的质疑函范本（http://www.mof.gov.cn/gp/xxgkml/gks/201802/t20180201_2804587.html），针对同一采购程序环节的质疑应当在法定质疑期内一次性提出，否则将不予受理。</w:t>
      </w:r>
    </w:p>
    <w:p>
      <w:pPr>
        <w:pStyle w:val="3"/>
        <w:keepNext w:val="0"/>
        <w:keepLines w:val="0"/>
        <w:widowControl/>
        <w:suppressLineNumbers w:val="0"/>
        <w:spacing w:after="150" w:afterAutospacing="0"/>
      </w:pPr>
      <w:r>
        <w:rPr>
          <w:rFonts w:hint="eastAsia" w:ascii="宋体" w:hAnsi="宋体" w:eastAsia="宋体" w:cs="宋体"/>
          <w:sz w:val="21"/>
          <w:szCs w:val="21"/>
        </w:rPr>
        <w:t>3）、落实泉州市财政局下发《泉州市财政局关于进一步落实中小企业政府采购合同融资有关事项的通知》文件精神增加：（1）、凡参与政府采购并依法取得政府采购合同的供应 商，均可使用政府采购合同向福建省政府采购网发布的政府采购合同融资业务信息的银行业金融机构申请融资，可在“政采贷”模块进行具体操作。（2）、企业申请所需提交的材料可登录“福建省政府采购网”查询。（3）、融资主要条件：①担保条件：除法定代表人或实际控制人担保外，如融资金额未超过政府采购合同金额的，银行不要求企业供应 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pPr>
      <w:r>
        <w:rPr>
          <w:rFonts w:hint="eastAsia" w:ascii="宋体" w:hAnsi="宋体" w:eastAsia="宋体" w:cs="宋体"/>
          <w:sz w:val="21"/>
          <w:szCs w:val="21"/>
        </w:rPr>
        <w:t>4）、投标人应提供中小企业声明函，并明确属于大、中、小、微四个企业类型中的哪种类型。</w:t>
      </w:r>
    </w:p>
    <w:p>
      <w:pPr>
        <w:pStyle w:val="3"/>
        <w:keepNext w:val="0"/>
        <w:keepLines w:val="0"/>
        <w:widowControl/>
        <w:suppressLineNumbers w:val="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p>
    <w:p>
      <w:pPr>
        <w:keepNext w:val="0"/>
        <w:keepLines w:val="0"/>
        <w:widowControl/>
        <w:suppressLineNumbers w:val="0"/>
        <w:jc w:val="left"/>
      </w:pPr>
      <w:r>
        <w:rPr>
          <w:rFonts w:ascii="宋体" w:hAnsi="宋体" w:eastAsia="宋体" w:cs="宋体"/>
          <w:kern w:val="0"/>
          <w:sz w:val="24"/>
          <w:szCs w:val="24"/>
          <w:lang w:val="en-US" w:eastAsia="zh-CN" w:bidi="ar"/>
        </w:rPr>
        <w:t xml:space="preserve">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1、签订合同应遵守《中华人民共和国政府采购法》、《中华人民共和国合同法》。</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甲方：（采购人全称）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乙方：（成交供应商全称）</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       的（填写“项目名称”）项目（以下简称：“本项目”）的谈判结果，乙方为成交供应商。现经甲乙双方友好协商，就以下事项达成一致并签订本合同：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1.3其他文件或材料：□无。□（根据实际情况填写需要增加的内容）。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              元（￥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4.1交付时间：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4.2交付地点：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4.3交付条件：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（根据实际情况填写，可以是表格或文字描述，包括一次性支付或分期支付等）。</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□无。□有，具体如下：（按照谈判文件规定填写）。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15.4本合同一式（填写具体份数）份，经双方授权代表签字并盖章后生效。甲方、乙方各执（填写具体份数）份，送（填写需要备案的监管部门的全称）备案（填写具体份数）份，具有同等效力。</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账号：                                  账号：</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签订地点：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签订日期：    年   月   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□非自然人适用：现附上我方开户（基本户）许可证复印件及我方银行：（填写“基本户的开户银行全称”）出具的资信证明复印件，上述证明材料真实有效，否则我方负全部责任。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15" w:lineRule="atLeast"/>
        <w:ind w:left="0" w:right="0" w:firstLine="480"/>
        <w:jc w:val="both"/>
      </w:pPr>
      <w:r>
        <w:rPr>
          <w:rFonts w:hint="eastAsia" w:ascii="宋体" w:hAnsi="宋体" w:eastAsia="宋体" w:cs="宋体"/>
          <w:spacing w:val="0"/>
          <w:sz w:val="24"/>
          <w:szCs w:val="24"/>
        </w:rPr>
        <w:t>本公司郑重声明，根据《政府采购促进中小企业发展暂行办法》（财库〔2011〕181号）的规定，本公司为                （请填写：中型、小型、微型）企业。即，本公司同时满足以下条件：</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本公司对上述声明的真实性负责。如有虚假，将依法承担相应责任。</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注：需另附下表</w:t>
      </w:r>
    </w:p>
    <w:tbl>
      <w:tblPr>
        <w:tblW w:w="93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42"/>
        <w:gridCol w:w="746"/>
        <w:gridCol w:w="747"/>
        <w:gridCol w:w="747"/>
        <w:gridCol w:w="747"/>
        <w:gridCol w:w="747"/>
        <w:gridCol w:w="1142"/>
        <w:gridCol w:w="33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合同包/品目号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响应产品名称</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品牌型号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数量</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最后报价单价</w:t>
            </w:r>
          </w:p>
        </w:tc>
        <w:tc>
          <w:tcPr>
            <w:tcW w:w="7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15" w:right="0"/>
              <w:jc w:val="center"/>
            </w:pPr>
            <w:r>
              <w:rPr>
                <w:rFonts w:hint="eastAsia" w:ascii="宋体" w:hAnsi="宋体" w:eastAsia="宋体" w:cs="宋体"/>
                <w:spacing w:val="0"/>
                <w:sz w:val="21"/>
                <w:szCs w:val="21"/>
              </w:rPr>
              <w:t>最后报价总价</w:t>
            </w:r>
          </w:p>
        </w:tc>
        <w:tc>
          <w:tcPr>
            <w:tcW w:w="11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响应产品的生产或供应企业</w:t>
            </w:r>
          </w:p>
        </w:tc>
        <w:tc>
          <w:tcPr>
            <w:tcW w:w="3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生产供应企业的规模类型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3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spacing w:val="0"/>
                <w:sz w:val="21"/>
                <w:szCs w:val="21"/>
              </w:rPr>
              <w:t>所报价产品的生产或供应企业类型为：     （</w:t>
            </w:r>
            <w:r>
              <w:rPr>
                <w:rFonts w:hint="default" w:ascii="Calibri" w:hAnsi="Calibri" w:cs="Calibri"/>
                <w:spacing w:val="0"/>
                <w:sz w:val="21"/>
                <w:szCs w:val="21"/>
              </w:rPr>
              <w:t>请填写</w:t>
            </w:r>
            <w:r>
              <w:rPr>
                <w:rFonts w:hint="eastAsia" w:ascii="宋体" w:hAnsi="宋体" w:eastAsia="宋体" w:cs="宋体"/>
                <w:spacing w:val="0"/>
                <w:sz w:val="21"/>
                <w:szCs w:val="21"/>
              </w:rPr>
              <w:t>中型、小型、微型企业）</w:t>
            </w:r>
          </w:p>
        </w:tc>
      </w:tr>
    </w:tbl>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1"/>
          <w:szCs w:val="21"/>
        </w:rPr>
        <w:t>（2）供应商应认真对照《工业和信息化部、国家统计局、国家发展和改革委员会、财政部关于印发中小企业划型标准规定的通知》（工信部联企业</w:t>
      </w:r>
      <w:r>
        <w:rPr>
          <w:rFonts w:hint="default" w:ascii="Calibri" w:hAnsi="Calibri" w:cs="Calibri"/>
          <w:spacing w:val="0"/>
          <w:sz w:val="21"/>
          <w:szCs w:val="21"/>
        </w:rPr>
        <w:t>[2011]300</w:t>
      </w:r>
      <w:r>
        <w:rPr>
          <w:rFonts w:hint="eastAsia" w:ascii="宋体" w:hAnsi="宋体" w:eastAsia="宋体" w:cs="宋体"/>
          <w:spacing w:val="0"/>
          <w:sz w:val="21"/>
          <w:szCs w:val="21"/>
        </w:rPr>
        <w:t>号）规定的划分标准，并按照国家统计局现行的关于统计上大中小微型企业划分办法的有关规定准确划分企业类型。</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（3）供应商为监狱企业的，可不填写本声明函。根据其提供的由省级以上监狱管理局、戒毒管理局（含新疆生产建设兵团）出具的属于监狱企业的证明文件进行认定，监狱企业视同小型、微型企业。</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（4）供应商为残疾人福利性单位的，可不填写本声明函，根据其提供的《残疾人福利性单位声明函》（格式附后）进行认定，残疾人福利性单位视同小型、微型企业。</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）提供本供应商制造的（填写“所投合同包、品目号”）货物，</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）由本供应商承担的（填写“所投合同包、品目号”）工程，</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）由本供应商提供的（填写“所投合同包、品目号”）服务；或</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）提供其他残疾人福利性单位制造的（填写“所投合同包、品目号”）货物（不包括使用非残疾人福利性单位注册商标的货物）。</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1"/>
          <w:szCs w:val="21"/>
        </w:rPr>
        <w:t>（4）若《残疾人福利性单位声明函》内容不真实，视为提供虚假材料。</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2"/>
        <w:gridCol w:w="1212"/>
        <w:gridCol w:w="1207"/>
        <w:gridCol w:w="1217"/>
        <w:gridCol w:w="1207"/>
        <w:gridCol w:w="1217"/>
        <w:gridCol w:w="12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pPr>
      <w: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6B3A5"/>
    <w:multiLevelType w:val="multilevel"/>
    <w:tmpl w:val="9416B3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110FE"/>
    <w:rsid w:val="06D1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active"/>
    <w:basedOn w:val="5"/>
    <w:uiPriority w:val="0"/>
    <w:rPr>
      <w:shd w:val="clear" w:fill="EC3535"/>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ontrol" Target="activeX/activeX6.xml"/><Relationship Id="rId11" Type="http://schemas.openxmlformats.org/officeDocument/2006/relationships/control" Target="activeX/activeX5.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_rels/activeX5.xml.rels><?xml version="1.0" encoding="UTF-8" standalone="yes"?>
<Relationships xmlns="http://schemas.openxmlformats.org/package/2006/relationships"><Relationship Id="rId1" Type="http://schemas.microsoft.com/office/2006/relationships/activeXControlBinary" Target="activeX6.bin"/></Relationships>
</file>

<file path=word/activeX/_rels/activeX6.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activeX/activeX3.xml><?xml version="1.0" encoding="utf-8"?>
<ax:ocx xmlns:ax="http://schemas.microsoft.com/office/2006/activeX" xmlns:r="http://schemas.openxmlformats.org/officeDocument/2006/relationships" ax:classid="{5512D11C-5CC6-11CF-8D67-00AA00BDCE1D}" r:id="rId1" ax:persistence="persistStorage"/>
</file>

<file path=word/activeX/activeX4.xml><?xml version="1.0" encoding="utf-8"?>
<ax:ocx xmlns:ax="http://schemas.microsoft.com/office/2006/activeX" xmlns:r="http://schemas.openxmlformats.org/officeDocument/2006/relationships" ax:classid="{5512D11C-5CC6-11CF-8D67-00AA00BDCE1D}" r:id="rId1" ax:persistence="persistStorage"/>
</file>

<file path=word/activeX/activeX5.xml><?xml version="1.0" encoding="utf-8"?>
<ax:ocx xmlns:ax="http://schemas.microsoft.com/office/2006/activeX" xmlns:r="http://schemas.openxmlformats.org/officeDocument/2006/relationships" ax:classid="{5512D11C-5CC6-11CF-8D67-00AA00BDCE1D}" r:id="rId1" ax:persistence="persistStorage"/>
</file>

<file path=word/activeX/activeX6.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2020-09-01T08:39:00Z</dcterms:created>
  <dc:creator>骑着蜗牛上高速</dc:creator>
  <cp:lastModifiedBy>骑着蜗牛上高速</cp:lastModifiedBy>
  <dcterms:modified xsi:type="dcterms:W3CDTF">2020-09-01T08:40:26Z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