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10" w:rsidRPr="00F024FA" w:rsidRDefault="00081D10" w:rsidP="00081D10">
      <w:pPr>
        <w:jc w:val="center"/>
        <w:rPr>
          <w:rFonts w:ascii="楷体_GB2312" w:eastAsia="楷体_GB2312"/>
          <w:spacing w:val="-100"/>
          <w:w w:val="150"/>
          <w:kern w:val="96"/>
          <w:sz w:val="32"/>
          <w:szCs w:val="32"/>
        </w:rPr>
      </w:pPr>
      <w:r w:rsidRPr="00C82E29">
        <w:rPr>
          <w:rFonts w:ascii="宋体" w:hAnsi="宋体" w:hint="eastAsia"/>
          <w:b/>
          <w:color w:val="FF0000"/>
          <w:spacing w:val="4"/>
          <w:w w:val="50"/>
          <w:kern w:val="0"/>
          <w:sz w:val="110"/>
          <w:szCs w:val="110"/>
          <w:fitText w:val="8384" w:id="1224353792"/>
        </w:rPr>
        <w:t>中共泉州师院纪律检查委员会文</w:t>
      </w:r>
      <w:r w:rsidRPr="00C82E29">
        <w:rPr>
          <w:rFonts w:ascii="宋体" w:hAnsi="宋体" w:hint="eastAsia"/>
          <w:b/>
          <w:color w:val="FF0000"/>
          <w:spacing w:val="-21"/>
          <w:w w:val="50"/>
          <w:kern w:val="0"/>
          <w:sz w:val="110"/>
          <w:szCs w:val="110"/>
          <w:fitText w:val="8384" w:id="1224353792"/>
        </w:rPr>
        <w:t>件</w:t>
      </w:r>
    </w:p>
    <w:p w:rsidR="00081D10" w:rsidRPr="00F024FA" w:rsidRDefault="00081D10" w:rsidP="00081D10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 w:rsidR="00081D10" w:rsidRPr="00F024FA" w:rsidRDefault="00081D10" w:rsidP="00081D10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 w:rsidRPr="00081D10">
        <w:rPr>
          <w:rFonts w:ascii="仿宋_GB2312" w:eastAsia="仿宋_GB2312" w:hint="eastAsia"/>
          <w:spacing w:val="2"/>
          <w:w w:val="89"/>
          <w:kern w:val="0"/>
          <w:sz w:val="30"/>
          <w:szCs w:val="30"/>
          <w:fitText w:val="3150" w:id="1224353793"/>
        </w:rPr>
        <w:t>泉师院纪委办〔2016〕8</w:t>
      </w:r>
      <w:r w:rsidRPr="00081D10">
        <w:rPr>
          <w:rFonts w:ascii="仿宋_GB2312" w:eastAsia="仿宋_GB2312" w:hint="eastAsia"/>
          <w:spacing w:val="-2"/>
          <w:w w:val="89"/>
          <w:kern w:val="0"/>
          <w:sz w:val="30"/>
          <w:szCs w:val="30"/>
          <w:fitText w:val="3150" w:id="1224353793"/>
        </w:rPr>
        <w:t>号</w:t>
      </w:r>
    </w:p>
    <w:p w:rsidR="00081D10" w:rsidRDefault="00081D10" w:rsidP="00081D10">
      <w:pPr>
        <w:pStyle w:val="a4"/>
        <w:spacing w:line="900" w:lineRule="exact"/>
        <w:ind w:left="5250"/>
        <w:rPr>
          <w:rFonts w:asciiTheme="minorEastAsia" w:hAnsiTheme="minorEastAsia" w:hint="eastAsia"/>
          <w:sz w:val="44"/>
          <w:szCs w:val="44"/>
        </w:rPr>
      </w:pPr>
      <w:r w:rsidRPr="00F024FA">
        <w:rPr>
          <w:rFonts w:ascii="仿宋_GB2312" w:eastAsia="仿宋_GB2312"/>
          <w:color w:val="FF0000"/>
          <w:sz w:val="30"/>
          <w:szCs w:val="30"/>
        </w:rPr>
        <w:pict>
          <v:line id="直线 2" o:spid="_x0000_s1026" style="position:absolute;left:0;text-align:left;z-index:251660288" from="5.25pt,6.4pt" to="430.5pt,6.4pt" o:gfxdata="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HHWL89QAAAAIAQAADwAAAAAAAAABACAAAAAiAAAAZHJz&#10;L2Rvd25yZXYueG1sUEsBAhQAFAAAAAgAh07iQBjp0t/PAQAAjgMAAA4AAAAAAAAAAQAgAAAAIwEA&#10;AGRycy9lMm9Eb2MueG1sUEsFBgAAAAAGAAYAWQEAAGQFAAAAAA==&#10;" strokecolor="red" strokeweight="1.5pt"/>
        </w:pict>
      </w:r>
    </w:p>
    <w:p w:rsidR="00B94786" w:rsidRPr="00081D10" w:rsidRDefault="009F63C2" w:rsidP="008216D1">
      <w:pPr>
        <w:jc w:val="center"/>
        <w:rPr>
          <w:rFonts w:asciiTheme="minorEastAsia" w:hAnsiTheme="minorEastAsia"/>
          <w:b/>
          <w:sz w:val="44"/>
          <w:szCs w:val="44"/>
        </w:rPr>
      </w:pPr>
      <w:r w:rsidRPr="00081D10">
        <w:rPr>
          <w:rFonts w:asciiTheme="minorEastAsia" w:hAnsiTheme="minorEastAsia" w:hint="eastAsia"/>
          <w:b/>
          <w:sz w:val="44"/>
          <w:szCs w:val="44"/>
        </w:rPr>
        <w:t>关于领取</w:t>
      </w:r>
      <w:r w:rsidR="008216D1" w:rsidRPr="00081D10">
        <w:rPr>
          <w:rFonts w:asciiTheme="minorEastAsia" w:hAnsiTheme="minorEastAsia" w:hint="eastAsia"/>
          <w:b/>
          <w:sz w:val="44"/>
          <w:szCs w:val="44"/>
        </w:rPr>
        <w:t>《中国共产党问责条例》的通知</w:t>
      </w:r>
    </w:p>
    <w:p w:rsidR="008216D1" w:rsidRDefault="008216D1" w:rsidP="008216D1">
      <w:pPr>
        <w:jc w:val="center"/>
        <w:rPr>
          <w:rFonts w:asciiTheme="minorEastAsia" w:hAnsiTheme="minorEastAsia" w:hint="eastAsia"/>
          <w:sz w:val="44"/>
          <w:szCs w:val="44"/>
        </w:rPr>
      </w:pPr>
    </w:p>
    <w:p w:rsidR="008216D1" w:rsidRPr="005B182A" w:rsidRDefault="005B182A" w:rsidP="00081D10">
      <w:pPr>
        <w:spacing w:line="600" w:lineRule="exact"/>
        <w:rPr>
          <w:rFonts w:ascii="仿宋" w:eastAsia="仿宋" w:hAnsi="仿宋"/>
          <w:sz w:val="32"/>
          <w:szCs w:val="32"/>
        </w:rPr>
      </w:pPr>
      <w:r w:rsidRPr="005B182A">
        <w:rPr>
          <w:rFonts w:ascii="仿宋" w:eastAsia="仿宋" w:hAnsi="仿宋" w:hint="eastAsia"/>
          <w:sz w:val="32"/>
          <w:szCs w:val="32"/>
        </w:rPr>
        <w:t>各二级党委（党总支）：</w:t>
      </w:r>
    </w:p>
    <w:p w:rsidR="005B182A" w:rsidRDefault="005B182A" w:rsidP="00081D10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  <w:r w:rsidRPr="005B182A">
        <w:rPr>
          <w:rFonts w:ascii="仿宋" w:eastAsia="仿宋" w:hAnsi="仿宋"/>
          <w:color w:val="292929"/>
          <w:sz w:val="32"/>
          <w:szCs w:val="32"/>
          <w:shd w:val="clear" w:color="auto" w:fill="FFFFFF"/>
        </w:rPr>
        <w:t>7月8日，</w:t>
      </w:r>
      <w:r w:rsidRPr="005B182A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中共中央印发了《中国共产党问责条例》</w:t>
      </w:r>
      <w:r w:rsidR="009F63C2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（以下简称《条例》）</w:t>
      </w:r>
      <w:r w:rsidRPr="005B182A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，并发出通知，要求各地区各部门认真遵照执行。《条例》以党章为根本遵循，全面贯彻党的十八大和十八届三中、四中、五中全会精神，深入贯彻习近平总书记系列重要讲话精神，聚焦全面从严治党，突出管党治党政治责任，着力解决一些党组织和党的领导干部党的领导弱化、党的建设缺失、全面从严治党不力，党的观念淡漠、组织涣散、纪律松弛、不担当、不负责等突出问题，体现了党的十八大以来管党治党理论和实践创新成果，是全面从严治党重要的制度遵循，对于统筹推进“五位一体”总体布局和协调推进“四个全面”战略布局，实现党的历史使命，具有十分重要的意义。</w:t>
      </w:r>
    </w:p>
    <w:p w:rsidR="009F63C2" w:rsidRDefault="009F63C2" w:rsidP="00081D10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为推动《条例》的学习宣传和贯彻落实，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校纪委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采购了一批《条例》单行本，请各二级党委</w:t>
      </w:r>
      <w:r w:rsidRPr="005B182A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（党总支）</w:t>
      </w: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于9月</w:t>
      </w:r>
      <w:r w:rsidR="00100D2E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7</w:t>
      </w: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日</w:t>
      </w: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lastRenderedPageBreak/>
        <w:t>前至校纪委办（行政楼50</w:t>
      </w:r>
      <w:r w:rsidR="0069126C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）领取，发放给处级干部，并组织开展学习活动。联系人：苏</w:t>
      </w:r>
      <w:proofErr w:type="gramStart"/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一</w:t>
      </w:r>
      <w:proofErr w:type="gramEnd"/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芳，联系电话：0595-22919635。</w:t>
      </w:r>
    </w:p>
    <w:p w:rsidR="009F63C2" w:rsidRDefault="009F63C2" w:rsidP="00081D10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</w:p>
    <w:p w:rsidR="009F63C2" w:rsidRDefault="009F63C2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</w:p>
    <w:p w:rsidR="009F63C2" w:rsidRDefault="009F63C2" w:rsidP="00081D10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</w:p>
    <w:p w:rsidR="009F63C2" w:rsidRDefault="009F63C2" w:rsidP="00081D10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 xml:space="preserve">        中共泉州师范学院纪律检查委员会办公室</w:t>
      </w:r>
    </w:p>
    <w:p w:rsidR="009F63C2" w:rsidRDefault="009F63C2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 xml:space="preserve">               </w:t>
      </w:r>
      <w:r w:rsidR="00081D10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 xml:space="preserve">         </w:t>
      </w: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2016年8月</w:t>
      </w:r>
      <w:r w:rsidR="00081D10"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31</w:t>
      </w:r>
      <w:r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  <w:t>日</w:t>
      </w: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Default="00C82E29" w:rsidP="00081D10">
      <w:pPr>
        <w:spacing w:line="600" w:lineRule="exact"/>
        <w:ind w:firstLine="630"/>
        <w:jc w:val="left"/>
        <w:rPr>
          <w:rFonts w:ascii="仿宋" w:eastAsia="仿宋" w:hAnsi="仿宋" w:hint="eastAsia"/>
          <w:color w:val="292929"/>
          <w:sz w:val="32"/>
          <w:szCs w:val="32"/>
          <w:shd w:val="clear" w:color="auto" w:fill="FFFFFF"/>
        </w:rPr>
      </w:pPr>
    </w:p>
    <w:p w:rsidR="00C82E29" w:rsidRPr="008A5D1A" w:rsidRDefault="00C82E29" w:rsidP="00C82E29">
      <w:pPr>
        <w:spacing w:line="300" w:lineRule="exact"/>
        <w:rPr>
          <w:rFonts w:ascii="宋体" w:hAnsi="宋体"/>
          <w:b/>
          <w:sz w:val="30"/>
          <w:szCs w:val="30"/>
          <w:u w:val="thick"/>
        </w:rPr>
      </w:pP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                                            </w:t>
      </w:r>
      <w:r>
        <w:rPr>
          <w:rFonts w:ascii="宋体" w:hAnsi="宋体" w:hint="eastAsia"/>
          <w:b/>
          <w:sz w:val="30"/>
          <w:szCs w:val="30"/>
          <w:u w:val="thick"/>
        </w:rPr>
        <w:t xml:space="preserve">  </w:t>
      </w:r>
      <w:r w:rsidRPr="008A5D1A">
        <w:rPr>
          <w:rFonts w:ascii="宋体" w:hAnsi="宋体" w:hint="eastAsia"/>
          <w:b/>
          <w:sz w:val="30"/>
          <w:szCs w:val="30"/>
          <w:u w:val="thick"/>
        </w:rPr>
        <w:t xml:space="preserve">         </w:t>
      </w:r>
    </w:p>
    <w:tbl>
      <w:tblPr>
        <w:tblW w:w="8320" w:type="dxa"/>
        <w:tblInd w:w="88" w:type="dxa"/>
        <w:tblBorders>
          <w:top w:val="single" w:sz="8" w:space="0" w:color="auto"/>
        </w:tblBorders>
        <w:tblLook w:val="0000"/>
      </w:tblPr>
      <w:tblGrid>
        <w:gridCol w:w="8320"/>
      </w:tblGrid>
      <w:tr w:rsidR="00C82E29" w:rsidTr="008D43CB">
        <w:trPr>
          <w:trHeight w:val="100"/>
        </w:trPr>
        <w:tc>
          <w:tcPr>
            <w:tcW w:w="8320" w:type="dxa"/>
          </w:tcPr>
          <w:p w:rsidR="00C82E29" w:rsidRDefault="00C82E29" w:rsidP="00C82E29">
            <w:pPr>
              <w:pStyle w:val="a3"/>
              <w:spacing w:before="0" w:beforeAutospacing="0" w:after="0" w:afterAutospacing="0" w:line="560" w:lineRule="exact"/>
              <w:ind w:firstLineChars="50" w:firstLine="150"/>
              <w:jc w:val="both"/>
              <w:rPr>
                <w:rFonts w:ascii="仿宋_GB2312"/>
                <w:sz w:val="30"/>
                <w:szCs w:val="30"/>
              </w:rPr>
            </w:pPr>
            <w:r w:rsidRPr="0073231A">
              <w:rPr>
                <w:rFonts w:ascii="仿宋_GB2312" w:eastAsia="仿宋_GB2312" w:hint="eastAsia"/>
                <w:sz w:val="30"/>
                <w:szCs w:val="30"/>
              </w:rPr>
              <w:t>泉州师院</w:t>
            </w:r>
            <w:r>
              <w:rPr>
                <w:rFonts w:ascii="仿宋_GB2312" w:eastAsia="仿宋_GB2312" w:hint="eastAsia"/>
                <w:sz w:val="30"/>
                <w:szCs w:val="30"/>
              </w:rPr>
              <w:t>纪委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 xml:space="preserve">办公室  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31</w:t>
            </w:r>
            <w:r w:rsidRPr="0073231A">
              <w:rPr>
                <w:rFonts w:ascii="仿宋_GB2312" w:eastAsia="仿宋_GB2312" w:hint="eastAsia"/>
                <w:sz w:val="30"/>
                <w:szCs w:val="30"/>
              </w:rPr>
              <w:t>日印发</w:t>
            </w:r>
          </w:p>
        </w:tc>
      </w:tr>
    </w:tbl>
    <w:tbl>
      <w:tblPr>
        <w:tblpPr w:leftFromText="180" w:rightFromText="180" w:vertAnchor="text" w:horzAnchor="margin" w:tblpX="88" w:tblpY="85"/>
        <w:tblW w:w="0" w:type="auto"/>
        <w:tblBorders>
          <w:top w:val="single" w:sz="12" w:space="0" w:color="auto"/>
        </w:tblBorders>
        <w:tblLook w:val="0000"/>
      </w:tblPr>
      <w:tblGrid>
        <w:gridCol w:w="8335"/>
      </w:tblGrid>
      <w:tr w:rsidR="00C82E29" w:rsidTr="008D43CB">
        <w:trPr>
          <w:trHeight w:val="114"/>
        </w:trPr>
        <w:tc>
          <w:tcPr>
            <w:tcW w:w="8335" w:type="dxa"/>
            <w:tcBorders>
              <w:top w:val="single" w:sz="12" w:space="0" w:color="auto"/>
            </w:tcBorders>
          </w:tcPr>
          <w:p w:rsidR="00C82E29" w:rsidRPr="007801B5" w:rsidRDefault="00C82E29" w:rsidP="008D43CB">
            <w:pPr>
              <w:pStyle w:val="a3"/>
              <w:spacing w:before="0" w:beforeAutospacing="0" w:after="0" w:afterAutospacing="0" w:line="6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82E29" w:rsidRPr="005B182A" w:rsidRDefault="00C82E29" w:rsidP="00C82E29">
      <w:pPr>
        <w:spacing w:line="600" w:lineRule="exact"/>
        <w:ind w:firstLine="630"/>
        <w:jc w:val="left"/>
        <w:rPr>
          <w:rFonts w:ascii="仿宋" w:eastAsia="仿宋" w:hAnsi="仿宋"/>
          <w:color w:val="292929"/>
          <w:sz w:val="32"/>
          <w:szCs w:val="32"/>
          <w:shd w:val="clear" w:color="auto" w:fill="FFFFFF"/>
        </w:rPr>
      </w:pPr>
    </w:p>
    <w:sectPr w:rsidR="00C82E29" w:rsidRPr="005B182A" w:rsidSect="00B9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6D1"/>
    <w:rsid w:val="00081D10"/>
    <w:rsid w:val="000D243A"/>
    <w:rsid w:val="000E20A4"/>
    <w:rsid w:val="00100D2E"/>
    <w:rsid w:val="005B182A"/>
    <w:rsid w:val="0067489A"/>
    <w:rsid w:val="0069126C"/>
    <w:rsid w:val="008216D1"/>
    <w:rsid w:val="00830BF0"/>
    <w:rsid w:val="009F63C2"/>
    <w:rsid w:val="00B94786"/>
    <w:rsid w:val="00C82E29"/>
    <w:rsid w:val="00CA2EB5"/>
    <w:rsid w:val="00D2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1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081D10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81D10"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Char0"/>
    <w:uiPriority w:val="99"/>
    <w:semiHidden/>
    <w:unhideWhenUsed/>
    <w:rsid w:val="00C82E29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C82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97</Words>
  <Characters>558</Characters>
  <Application>Microsoft Office Word</Application>
  <DocSecurity>0</DocSecurity>
  <Lines>4</Lines>
  <Paragraphs>1</Paragraphs>
  <ScaleCrop>false</ScaleCrop>
  <Company>Lenovo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2016-08-24T00:54:00Z</dcterms:created>
  <dcterms:modified xsi:type="dcterms:W3CDTF">2016-08-31T00:48:00Z</dcterms:modified>
</cp:coreProperties>
</file>