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75" w:after="75" w:line="360" w:lineRule="auto"/>
        <w:jc w:val="center"/>
        <w:rPr>
          <w:rFonts w:ascii="宋体" w:hAnsi="宋体" w:eastAsia="宋体" w:cs="宋体"/>
          <w:b/>
          <w:bCs/>
          <w:color w:val="auto"/>
          <w:kern w:val="0"/>
          <w:sz w:val="13"/>
          <w:szCs w:val="13"/>
        </w:rPr>
      </w:pPr>
      <w:bookmarkStart w:id="0" w:name="_GoBack"/>
    </w:p>
    <w:p>
      <w:pPr>
        <w:widowControl/>
        <w:spacing w:before="75" w:after="75" w:line="360" w:lineRule="auto"/>
        <w:jc w:val="center"/>
        <w:rPr>
          <w:rFonts w:ascii="宋体" w:hAnsi="宋体" w:eastAsia="宋体" w:cs="宋体"/>
          <w:b/>
          <w:bCs/>
          <w:color w:val="auto"/>
          <w:kern w:val="0"/>
          <w:sz w:val="72"/>
        </w:rPr>
      </w:pPr>
      <w:r>
        <w:rPr>
          <w:rFonts w:hint="eastAsia" w:ascii="宋体" w:hAnsi="宋体" w:eastAsia="宋体" w:cs="宋体"/>
          <w:b/>
          <w:bCs/>
          <w:color w:val="auto"/>
          <w:kern w:val="0"/>
          <w:sz w:val="84"/>
          <w:szCs w:val="84"/>
          <w:lang w:eastAsia="zh-CN"/>
        </w:rPr>
        <w:t>泉州师范学院</w:t>
      </w:r>
    </w:p>
    <w:p>
      <w:pPr>
        <w:pStyle w:val="2"/>
        <w:spacing w:line="360" w:lineRule="auto"/>
        <w:rPr>
          <w:rFonts w:ascii="宋体" w:hAnsi="宋体" w:cs="宋体"/>
          <w:color w:val="auto"/>
        </w:rPr>
      </w:pPr>
    </w:p>
    <w:p>
      <w:pPr>
        <w:widowControl/>
        <w:spacing w:before="75" w:after="75" w:line="360" w:lineRule="auto"/>
        <w:jc w:val="center"/>
        <w:rPr>
          <w:rFonts w:ascii="宋体" w:hAnsi="宋体" w:eastAsia="宋体" w:cs="宋体"/>
          <w:color w:val="auto"/>
          <w:kern w:val="0"/>
          <w:sz w:val="84"/>
          <w:szCs w:val="84"/>
        </w:rPr>
      </w:pPr>
      <w:r>
        <w:rPr>
          <w:rFonts w:hint="eastAsia" w:ascii="宋体" w:hAnsi="宋体" w:eastAsia="宋体" w:cs="宋体"/>
          <w:b/>
          <w:bCs/>
          <w:color w:val="auto"/>
          <w:kern w:val="0"/>
          <w:sz w:val="84"/>
          <w:szCs w:val="84"/>
        </w:rPr>
        <w:t>竞争性谈判文件</w:t>
      </w:r>
    </w:p>
    <w:p>
      <w:pPr>
        <w:widowControl/>
        <w:spacing w:before="75" w:after="75"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widowControl/>
        <w:spacing w:before="75" w:after="75" w:line="360" w:lineRule="auto"/>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widowControl/>
        <w:spacing w:before="75" w:after="75" w:line="360" w:lineRule="auto"/>
        <w:jc w:val="left"/>
        <w:rPr>
          <w:rFonts w:ascii="宋体" w:hAnsi="宋体" w:eastAsia="宋体" w:cs="宋体"/>
          <w:b/>
          <w:bCs/>
          <w:color w:val="auto"/>
          <w:kern w:val="0"/>
          <w:sz w:val="24"/>
          <w:szCs w:val="24"/>
        </w:rPr>
      </w:pPr>
      <w:r>
        <w:rPr>
          <w:rFonts w:hint="eastAsia" w:ascii="宋体" w:hAnsi="宋体" w:eastAsia="宋体" w:cs="宋体"/>
          <w:color w:val="auto"/>
          <w:kern w:val="0"/>
          <w:sz w:val="24"/>
          <w:szCs w:val="24"/>
        </w:rPr>
        <w:t> </w:t>
      </w:r>
    </w:p>
    <w:p>
      <w:pPr>
        <w:widowControl/>
        <w:spacing w:before="75" w:after="75" w:line="360" w:lineRule="auto"/>
        <w:jc w:val="left"/>
        <w:rPr>
          <w:rFonts w:ascii="宋体" w:hAnsi="宋体" w:eastAsia="宋体" w:cs="宋体"/>
          <w:b/>
          <w:bCs/>
          <w:color w:val="auto"/>
          <w:kern w:val="0"/>
          <w:sz w:val="24"/>
          <w:szCs w:val="24"/>
        </w:rPr>
      </w:pPr>
    </w:p>
    <w:p>
      <w:pPr>
        <w:widowControl/>
        <w:spacing w:before="75" w:after="75"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spacing w:line="360" w:lineRule="auto"/>
        <w:jc w:val="center"/>
        <w:rPr>
          <w:rFonts w:hint="eastAsia" w:ascii="宋体" w:hAnsi="宋体" w:eastAsia="宋体" w:cs="宋体"/>
          <w:b/>
          <w:bCs/>
          <w:color w:val="auto"/>
          <w:kern w:val="0"/>
          <w:sz w:val="36"/>
          <w:szCs w:val="36"/>
          <w:lang w:eastAsia="zh-CN"/>
        </w:rPr>
      </w:pPr>
      <w:r>
        <w:rPr>
          <w:rFonts w:hint="eastAsia" w:ascii="宋体" w:hAnsi="宋体" w:eastAsia="宋体" w:cs="宋体"/>
          <w:b/>
          <w:bCs/>
          <w:color w:val="auto"/>
          <w:kern w:val="0"/>
          <w:sz w:val="36"/>
          <w:szCs w:val="36"/>
        </w:rPr>
        <w:t>项目名称：</w:t>
      </w:r>
      <w:r>
        <w:rPr>
          <w:rFonts w:hint="eastAsia" w:ascii="宋体" w:hAnsi="宋体" w:eastAsia="宋体" w:cs="宋体"/>
          <w:b/>
          <w:bCs/>
          <w:color w:val="auto"/>
          <w:kern w:val="0"/>
          <w:sz w:val="36"/>
          <w:szCs w:val="36"/>
          <w:lang w:eastAsia="zh-CN"/>
        </w:rPr>
        <w:t>泉州师范学院宿舍管理中心青年教师</w:t>
      </w:r>
    </w:p>
    <w:p>
      <w:pPr>
        <w:spacing w:line="360" w:lineRule="auto"/>
        <w:jc w:val="center"/>
        <w:rPr>
          <w:rFonts w:hint="eastAsia" w:ascii="宋体" w:hAnsi="宋体" w:eastAsia="宋体" w:cs="宋体"/>
          <w:b/>
          <w:bCs/>
          <w:color w:val="auto"/>
          <w:kern w:val="0"/>
          <w:sz w:val="36"/>
          <w:szCs w:val="36"/>
          <w:lang w:eastAsia="zh-CN"/>
        </w:rPr>
      </w:pPr>
      <w:r>
        <w:rPr>
          <w:rFonts w:hint="eastAsia" w:ascii="宋体" w:hAnsi="宋体" w:eastAsia="宋体" w:cs="宋体"/>
          <w:b/>
          <w:bCs/>
          <w:color w:val="auto"/>
          <w:kern w:val="0"/>
          <w:sz w:val="36"/>
          <w:szCs w:val="36"/>
          <w:lang w:eastAsia="zh-CN"/>
        </w:rPr>
        <w:t>公寓水电管理系统采购项目</w:t>
      </w:r>
    </w:p>
    <w:p>
      <w:pPr>
        <w:pStyle w:val="2"/>
        <w:rPr>
          <w:rFonts w:hint="eastAsia"/>
          <w:color w:val="auto"/>
          <w:lang w:eastAsia="zh-CN"/>
        </w:rPr>
      </w:pPr>
    </w:p>
    <w:p>
      <w:pPr>
        <w:widowControl/>
        <w:spacing w:before="75" w:after="75" w:line="360" w:lineRule="auto"/>
        <w:jc w:val="center"/>
        <w:rPr>
          <w:rFonts w:hint="eastAsia" w:ascii="宋体" w:hAnsi="宋体" w:eastAsia="宋体" w:cs="宋体"/>
          <w:color w:val="auto"/>
          <w:kern w:val="0"/>
          <w:sz w:val="36"/>
          <w:szCs w:val="36"/>
          <w:lang w:val="en-US" w:eastAsia="zh-CN"/>
        </w:rPr>
      </w:pPr>
      <w:r>
        <w:rPr>
          <w:rFonts w:hint="eastAsia" w:ascii="宋体" w:hAnsi="宋体" w:eastAsia="宋体" w:cs="宋体"/>
          <w:b/>
          <w:bCs/>
          <w:color w:val="auto"/>
          <w:kern w:val="0"/>
          <w:sz w:val="36"/>
          <w:szCs w:val="36"/>
        </w:rPr>
        <w:t>项目编号：</w:t>
      </w:r>
      <w:r>
        <w:rPr>
          <w:rFonts w:hint="eastAsia" w:ascii="宋体" w:hAnsi="宋体" w:eastAsia="宋体" w:cs="宋体"/>
          <w:b/>
          <w:bCs/>
          <w:color w:val="auto"/>
          <w:kern w:val="0"/>
          <w:sz w:val="30"/>
          <w:lang w:eastAsia="zh-CN"/>
        </w:rPr>
        <w:t>FJFS2021015-1</w:t>
      </w:r>
    </w:p>
    <w:p>
      <w:pPr>
        <w:widowControl/>
        <w:spacing w:before="75" w:after="75" w:line="360" w:lineRule="auto"/>
        <w:ind w:firstLine="105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widowControl/>
        <w:spacing w:before="75" w:after="75" w:line="360" w:lineRule="auto"/>
        <w:jc w:val="left"/>
        <w:rPr>
          <w:rFonts w:ascii="宋体" w:hAnsi="宋体" w:eastAsia="宋体" w:cs="宋体"/>
          <w:b/>
          <w:bCs/>
          <w:color w:val="auto"/>
          <w:kern w:val="0"/>
          <w:sz w:val="30"/>
        </w:rPr>
      </w:pPr>
      <w:r>
        <w:rPr>
          <w:rFonts w:hint="eastAsia" w:ascii="宋体" w:hAnsi="宋体" w:eastAsia="宋体" w:cs="宋体"/>
          <w:color w:val="auto"/>
          <w:kern w:val="0"/>
          <w:sz w:val="24"/>
          <w:szCs w:val="24"/>
        </w:rPr>
        <w:t> </w:t>
      </w:r>
    </w:p>
    <w:p>
      <w:pPr>
        <w:widowControl/>
        <w:spacing w:before="75" w:after="75" w:line="360" w:lineRule="auto"/>
        <w:jc w:val="center"/>
        <w:rPr>
          <w:rFonts w:ascii="宋体" w:hAnsi="宋体" w:eastAsia="宋体" w:cs="宋体"/>
          <w:b/>
          <w:bCs/>
          <w:color w:val="auto"/>
          <w:kern w:val="0"/>
          <w:sz w:val="30"/>
        </w:rPr>
      </w:pPr>
    </w:p>
    <w:p>
      <w:pPr>
        <w:widowControl/>
        <w:spacing w:before="75" w:after="75" w:line="360" w:lineRule="auto"/>
        <w:jc w:val="center"/>
        <w:rPr>
          <w:rFonts w:hint="eastAsia" w:ascii="宋体" w:hAnsi="宋体" w:eastAsia="宋体" w:cs="宋体"/>
          <w:b/>
          <w:bCs/>
          <w:color w:val="auto"/>
          <w:kern w:val="0"/>
          <w:sz w:val="30"/>
          <w:lang w:eastAsia="zh-CN"/>
        </w:rPr>
      </w:pPr>
      <w:r>
        <w:rPr>
          <w:rFonts w:hint="eastAsia" w:ascii="宋体" w:hAnsi="宋体" w:eastAsia="宋体" w:cs="宋体"/>
          <w:b/>
          <w:bCs/>
          <w:color w:val="auto"/>
          <w:kern w:val="0"/>
          <w:sz w:val="30"/>
        </w:rPr>
        <w:t>采</w:t>
      </w:r>
      <w:r>
        <w:rPr>
          <w:rFonts w:hint="eastAsia" w:ascii="宋体" w:hAnsi="宋体" w:eastAsia="宋体" w:cs="宋体"/>
          <w:b/>
          <w:bCs/>
          <w:color w:val="auto"/>
          <w:kern w:val="0"/>
          <w:sz w:val="30"/>
          <w:lang w:val="en-US" w:eastAsia="zh-CN"/>
        </w:rPr>
        <w:t xml:space="preserve"> </w:t>
      </w:r>
      <w:r>
        <w:rPr>
          <w:rFonts w:hint="eastAsia" w:ascii="宋体" w:hAnsi="宋体" w:eastAsia="宋体" w:cs="宋体"/>
          <w:b/>
          <w:bCs/>
          <w:color w:val="auto"/>
          <w:kern w:val="0"/>
          <w:sz w:val="30"/>
        </w:rPr>
        <w:t>购</w:t>
      </w:r>
      <w:r>
        <w:rPr>
          <w:rFonts w:hint="eastAsia" w:ascii="宋体" w:hAnsi="宋体" w:eastAsia="宋体" w:cs="宋体"/>
          <w:b/>
          <w:bCs/>
          <w:color w:val="auto"/>
          <w:kern w:val="0"/>
          <w:sz w:val="30"/>
          <w:lang w:val="en-US" w:eastAsia="zh-CN"/>
        </w:rPr>
        <w:t xml:space="preserve"> </w:t>
      </w:r>
      <w:r>
        <w:rPr>
          <w:rFonts w:hint="eastAsia" w:ascii="宋体" w:hAnsi="宋体" w:eastAsia="宋体" w:cs="宋体"/>
          <w:b/>
          <w:bCs/>
          <w:color w:val="auto"/>
          <w:kern w:val="0"/>
          <w:sz w:val="30"/>
        </w:rPr>
        <w:t>人：</w:t>
      </w:r>
      <w:r>
        <w:rPr>
          <w:rFonts w:hint="eastAsia" w:ascii="宋体" w:hAnsi="宋体" w:eastAsia="宋体" w:cs="宋体"/>
          <w:b/>
          <w:bCs/>
          <w:color w:val="auto"/>
          <w:sz w:val="32"/>
          <w:szCs w:val="32"/>
          <w:lang w:eastAsia="zh-CN"/>
        </w:rPr>
        <w:t>泉州师范学院</w:t>
      </w:r>
    </w:p>
    <w:p>
      <w:pPr>
        <w:widowControl/>
        <w:spacing w:before="75" w:after="75" w:line="360" w:lineRule="auto"/>
        <w:jc w:val="center"/>
        <w:rPr>
          <w:rFonts w:ascii="宋体" w:hAnsi="宋体" w:eastAsia="宋体" w:cs="宋体"/>
          <w:b/>
          <w:bCs/>
          <w:color w:val="auto"/>
          <w:kern w:val="0"/>
          <w:sz w:val="30"/>
        </w:rPr>
      </w:pPr>
      <w:r>
        <w:rPr>
          <w:rFonts w:hint="eastAsia" w:ascii="宋体" w:hAnsi="宋体" w:eastAsia="宋体" w:cs="宋体"/>
          <w:b/>
          <w:bCs/>
          <w:color w:val="auto"/>
          <w:kern w:val="0"/>
          <w:sz w:val="30"/>
        </w:rPr>
        <w:t>代理机构：福建丰盛项目管理有限公司</w:t>
      </w:r>
    </w:p>
    <w:p>
      <w:pPr>
        <w:widowControl/>
        <w:spacing w:before="75" w:after="75" w:line="360" w:lineRule="auto"/>
        <w:jc w:val="center"/>
        <w:rPr>
          <w:rFonts w:ascii="宋体" w:hAnsi="宋体" w:eastAsia="宋体" w:cs="宋体"/>
          <w:b/>
          <w:bCs/>
          <w:color w:val="auto"/>
          <w:kern w:val="0"/>
          <w:sz w:val="30"/>
        </w:rPr>
      </w:pPr>
    </w:p>
    <w:p>
      <w:pPr>
        <w:widowControl/>
        <w:spacing w:before="75" w:after="75" w:line="360" w:lineRule="auto"/>
        <w:jc w:val="center"/>
        <w:rPr>
          <w:rFonts w:ascii="宋体" w:hAnsi="宋体" w:eastAsia="宋体" w:cs="宋体"/>
          <w:color w:val="auto"/>
          <w:kern w:val="0"/>
          <w:sz w:val="24"/>
          <w:szCs w:val="24"/>
        </w:rPr>
      </w:pPr>
      <w:r>
        <w:rPr>
          <w:rFonts w:hint="eastAsia" w:ascii="宋体" w:hAnsi="宋体" w:eastAsia="宋体" w:cs="宋体"/>
          <w:b/>
          <w:bCs/>
          <w:color w:val="auto"/>
          <w:kern w:val="0"/>
          <w:sz w:val="30"/>
        </w:rPr>
        <w:t> 2021年6月</w:t>
      </w:r>
    </w:p>
    <w:p>
      <w:pPr>
        <w:widowControl/>
        <w:spacing w:before="75" w:after="75" w:line="360" w:lineRule="auto"/>
        <w:jc w:val="left"/>
        <w:rPr>
          <w:rFonts w:ascii="宋体" w:hAnsi="宋体" w:eastAsia="宋体" w:cs="宋体"/>
          <w:color w:val="auto"/>
          <w:kern w:val="0"/>
          <w:sz w:val="24"/>
          <w:szCs w:val="24"/>
        </w:rPr>
        <w:sectPr>
          <w:headerReference r:id="rId3" w:type="default"/>
          <w:pgSz w:w="11906" w:h="16838"/>
          <w:pgMar w:top="1440" w:right="1474" w:bottom="1440" w:left="1474" w:header="851" w:footer="992" w:gutter="0"/>
          <w:pgNumType w:fmt="decimal"/>
          <w:cols w:space="0" w:num="1"/>
          <w:docGrid w:type="lines" w:linePitch="312" w:charSpace="0"/>
        </w:sectPr>
      </w:pPr>
    </w:p>
    <w:p>
      <w:pPr>
        <w:widowControl/>
        <w:spacing w:before="75" w:after="75" w:line="360" w:lineRule="auto"/>
        <w:jc w:val="center"/>
        <w:outlineLvl w:val="0"/>
        <w:rPr>
          <w:rFonts w:hint="eastAsia" w:ascii="宋体" w:hAnsi="宋体" w:eastAsia="宋体" w:cs="宋体"/>
          <w:b/>
          <w:bCs/>
          <w:color w:val="auto"/>
          <w:kern w:val="0"/>
          <w:sz w:val="32"/>
          <w:szCs w:val="32"/>
        </w:rPr>
      </w:pPr>
    </w:p>
    <w:p>
      <w:pPr>
        <w:widowControl/>
        <w:spacing w:before="75" w:after="75" w:line="360" w:lineRule="auto"/>
        <w:jc w:val="center"/>
        <w:outlineLvl w:val="0"/>
        <w:rPr>
          <w:rFonts w:hint="eastAsia" w:ascii="宋体" w:hAnsi="宋体" w:eastAsia="宋体" w:cs="宋体"/>
          <w:b/>
          <w:bCs/>
          <w:color w:val="auto"/>
          <w:kern w:val="0"/>
          <w:sz w:val="32"/>
          <w:szCs w:val="32"/>
        </w:rPr>
      </w:pPr>
    </w:p>
    <w:p>
      <w:pPr>
        <w:widowControl/>
        <w:spacing w:before="75" w:after="75" w:line="360" w:lineRule="auto"/>
        <w:jc w:val="center"/>
        <w:outlineLvl w:val="0"/>
        <w:rPr>
          <w:rFonts w:hint="eastAsia" w:ascii="宋体" w:hAnsi="宋体" w:eastAsia="宋体" w:cs="宋体"/>
          <w:b/>
          <w:bCs/>
          <w:color w:val="auto"/>
          <w:kern w:val="0"/>
          <w:sz w:val="32"/>
          <w:szCs w:val="32"/>
        </w:rPr>
      </w:pPr>
    </w:p>
    <w:p>
      <w:pPr>
        <w:widowControl/>
        <w:spacing w:before="75" w:after="75" w:line="360" w:lineRule="auto"/>
        <w:jc w:val="center"/>
        <w:outlineLvl w:val="0"/>
        <w:rPr>
          <w:rFonts w:hint="eastAsia" w:ascii="宋体" w:hAnsi="宋体" w:eastAsia="宋体" w:cs="宋体"/>
          <w:b/>
          <w:bCs/>
          <w:color w:val="auto"/>
          <w:kern w:val="0"/>
          <w:sz w:val="32"/>
          <w:szCs w:val="32"/>
        </w:rPr>
      </w:pPr>
    </w:p>
    <w:p>
      <w:pPr>
        <w:widowControl/>
        <w:spacing w:before="75" w:after="75" w:line="360" w:lineRule="auto"/>
        <w:jc w:val="center"/>
        <w:outlineLvl w:val="0"/>
        <w:rPr>
          <w:rFonts w:hint="eastAsia" w:ascii="宋体" w:hAnsi="宋体" w:eastAsia="宋体" w:cs="宋体"/>
          <w:b/>
          <w:bCs/>
          <w:color w:val="auto"/>
          <w:kern w:val="0"/>
          <w:sz w:val="32"/>
          <w:szCs w:val="32"/>
        </w:rPr>
      </w:pPr>
    </w:p>
    <w:p>
      <w:pPr>
        <w:widowControl/>
        <w:spacing w:before="75" w:after="75" w:line="360" w:lineRule="auto"/>
        <w:jc w:val="center"/>
        <w:outlineLvl w:val="0"/>
        <w:rPr>
          <w:rFonts w:hint="eastAsia" w:ascii="宋体" w:hAnsi="宋体" w:eastAsia="宋体" w:cs="宋体"/>
          <w:b/>
          <w:bCs/>
          <w:color w:val="auto"/>
          <w:kern w:val="0"/>
          <w:sz w:val="32"/>
          <w:szCs w:val="32"/>
        </w:rPr>
      </w:pPr>
    </w:p>
    <w:p>
      <w:pPr>
        <w:widowControl/>
        <w:spacing w:before="75" w:after="75" w:line="360" w:lineRule="auto"/>
        <w:jc w:val="center"/>
        <w:outlineLvl w:val="0"/>
        <w:rPr>
          <w:rFonts w:hint="eastAsia" w:ascii="宋体" w:hAnsi="宋体" w:eastAsia="宋体" w:cs="宋体"/>
          <w:b/>
          <w:bCs/>
          <w:color w:val="auto"/>
          <w:kern w:val="0"/>
          <w:sz w:val="32"/>
          <w:szCs w:val="32"/>
        </w:rPr>
      </w:pPr>
    </w:p>
    <w:p>
      <w:pPr>
        <w:widowControl/>
        <w:spacing w:before="75" w:after="75" w:line="360" w:lineRule="auto"/>
        <w:jc w:val="center"/>
        <w:outlineLvl w:val="0"/>
        <w:rPr>
          <w:rFonts w:hint="eastAsia" w:ascii="宋体" w:hAnsi="宋体" w:eastAsia="宋体" w:cs="宋体"/>
          <w:b/>
          <w:bCs/>
          <w:color w:val="auto"/>
          <w:kern w:val="0"/>
          <w:sz w:val="32"/>
          <w:szCs w:val="32"/>
        </w:rPr>
      </w:pPr>
    </w:p>
    <w:p>
      <w:pPr>
        <w:widowControl/>
        <w:spacing w:before="75" w:after="75" w:line="360" w:lineRule="auto"/>
        <w:jc w:val="center"/>
        <w:outlineLvl w:val="0"/>
        <w:rPr>
          <w:rFonts w:hint="eastAsia" w:ascii="宋体" w:hAnsi="宋体" w:eastAsia="宋体" w:cs="宋体"/>
          <w:b/>
          <w:bCs/>
          <w:color w:val="auto"/>
          <w:kern w:val="0"/>
          <w:sz w:val="32"/>
          <w:szCs w:val="32"/>
        </w:rPr>
      </w:pPr>
    </w:p>
    <w:p>
      <w:pPr>
        <w:widowControl/>
        <w:spacing w:before="75" w:after="75" w:line="360" w:lineRule="auto"/>
        <w:jc w:val="center"/>
        <w:outlineLvl w:val="0"/>
        <w:rPr>
          <w:rFonts w:hint="eastAsia" w:ascii="宋体" w:hAnsi="宋体" w:eastAsia="宋体" w:cs="宋体"/>
          <w:b/>
          <w:bCs/>
          <w:color w:val="auto"/>
          <w:kern w:val="0"/>
          <w:sz w:val="32"/>
          <w:szCs w:val="32"/>
        </w:rPr>
      </w:pPr>
    </w:p>
    <w:p>
      <w:pPr>
        <w:widowControl/>
        <w:spacing w:before="75" w:after="75" w:line="360" w:lineRule="auto"/>
        <w:jc w:val="center"/>
        <w:outlineLvl w:val="0"/>
        <w:rPr>
          <w:rFonts w:hint="eastAsia" w:ascii="宋体" w:hAnsi="宋体" w:eastAsia="宋体" w:cs="宋体"/>
          <w:b/>
          <w:bCs/>
          <w:color w:val="auto"/>
          <w:kern w:val="0"/>
          <w:sz w:val="32"/>
          <w:szCs w:val="32"/>
        </w:rPr>
      </w:pPr>
    </w:p>
    <w:p>
      <w:pPr>
        <w:widowControl/>
        <w:spacing w:before="75" w:after="75" w:line="360" w:lineRule="auto"/>
        <w:jc w:val="center"/>
        <w:outlineLvl w:val="0"/>
        <w:rPr>
          <w:rFonts w:hint="eastAsia" w:ascii="宋体" w:hAnsi="宋体" w:eastAsia="宋体" w:cs="宋体"/>
          <w:b/>
          <w:bCs/>
          <w:color w:val="auto"/>
          <w:kern w:val="0"/>
          <w:sz w:val="32"/>
          <w:szCs w:val="32"/>
        </w:rPr>
      </w:pPr>
    </w:p>
    <w:p>
      <w:pPr>
        <w:widowControl/>
        <w:spacing w:before="75" w:after="75" w:line="360" w:lineRule="auto"/>
        <w:jc w:val="center"/>
        <w:outlineLvl w:val="0"/>
        <w:rPr>
          <w:rFonts w:hint="eastAsia" w:ascii="宋体" w:hAnsi="宋体" w:eastAsia="宋体" w:cs="宋体"/>
          <w:b/>
          <w:bCs/>
          <w:color w:val="auto"/>
          <w:kern w:val="0"/>
          <w:sz w:val="32"/>
          <w:szCs w:val="32"/>
        </w:rPr>
      </w:pPr>
    </w:p>
    <w:p>
      <w:pPr>
        <w:widowControl/>
        <w:spacing w:before="75" w:after="75" w:line="360" w:lineRule="auto"/>
        <w:jc w:val="center"/>
        <w:outlineLvl w:val="0"/>
        <w:rPr>
          <w:rFonts w:hint="eastAsia" w:ascii="宋体" w:hAnsi="宋体" w:eastAsia="宋体" w:cs="宋体"/>
          <w:b/>
          <w:bCs/>
          <w:color w:val="auto"/>
          <w:kern w:val="0"/>
          <w:sz w:val="32"/>
          <w:szCs w:val="32"/>
        </w:rPr>
      </w:pPr>
    </w:p>
    <w:p>
      <w:pPr>
        <w:widowControl/>
        <w:spacing w:before="75" w:after="75" w:line="360" w:lineRule="auto"/>
        <w:jc w:val="center"/>
        <w:outlineLvl w:val="0"/>
        <w:rPr>
          <w:rFonts w:hint="eastAsia" w:ascii="宋体" w:hAnsi="宋体" w:eastAsia="宋体" w:cs="宋体"/>
          <w:b/>
          <w:bCs/>
          <w:color w:val="auto"/>
          <w:kern w:val="0"/>
          <w:sz w:val="32"/>
          <w:szCs w:val="32"/>
        </w:rPr>
      </w:pPr>
    </w:p>
    <w:p>
      <w:pPr>
        <w:widowControl/>
        <w:spacing w:before="75" w:after="75" w:line="360" w:lineRule="auto"/>
        <w:jc w:val="center"/>
        <w:outlineLvl w:val="0"/>
        <w:rPr>
          <w:rFonts w:hint="eastAsia" w:ascii="宋体" w:hAnsi="宋体" w:eastAsia="宋体" w:cs="宋体"/>
          <w:b/>
          <w:bCs/>
          <w:color w:val="auto"/>
          <w:kern w:val="0"/>
          <w:sz w:val="32"/>
          <w:szCs w:val="32"/>
        </w:rPr>
      </w:pPr>
    </w:p>
    <w:p>
      <w:pPr>
        <w:widowControl/>
        <w:spacing w:before="75" w:after="75" w:line="360" w:lineRule="auto"/>
        <w:jc w:val="center"/>
        <w:outlineLvl w:val="0"/>
        <w:rPr>
          <w:rFonts w:hint="eastAsia" w:ascii="宋体" w:hAnsi="宋体" w:eastAsia="宋体" w:cs="宋体"/>
          <w:b/>
          <w:bCs/>
          <w:color w:val="auto"/>
          <w:kern w:val="0"/>
          <w:sz w:val="32"/>
          <w:szCs w:val="32"/>
        </w:rPr>
      </w:pPr>
    </w:p>
    <w:p>
      <w:pPr>
        <w:widowControl/>
        <w:spacing w:before="75" w:after="75" w:line="360" w:lineRule="auto"/>
        <w:jc w:val="center"/>
        <w:outlineLvl w:val="0"/>
        <w:rPr>
          <w:rFonts w:hint="eastAsia" w:ascii="宋体" w:hAnsi="宋体" w:eastAsia="宋体" w:cs="宋体"/>
          <w:b/>
          <w:bCs/>
          <w:color w:val="auto"/>
          <w:kern w:val="0"/>
          <w:sz w:val="32"/>
          <w:szCs w:val="32"/>
        </w:rPr>
      </w:pPr>
    </w:p>
    <w:p>
      <w:pPr>
        <w:widowControl/>
        <w:spacing w:before="75" w:after="75" w:line="360" w:lineRule="auto"/>
        <w:jc w:val="center"/>
        <w:outlineLvl w:val="0"/>
        <w:rPr>
          <w:rFonts w:hint="eastAsia" w:ascii="宋体" w:hAnsi="宋体" w:eastAsia="宋体" w:cs="宋体"/>
          <w:b/>
          <w:bCs/>
          <w:color w:val="auto"/>
          <w:kern w:val="0"/>
          <w:sz w:val="32"/>
          <w:szCs w:val="32"/>
        </w:rPr>
      </w:pPr>
    </w:p>
    <w:p>
      <w:pPr>
        <w:widowControl/>
        <w:spacing w:before="75" w:after="75" w:line="360" w:lineRule="auto"/>
        <w:jc w:val="center"/>
        <w:outlineLvl w:val="0"/>
        <w:rPr>
          <w:rFonts w:hint="eastAsia" w:ascii="宋体" w:hAnsi="宋体" w:eastAsia="宋体" w:cs="宋体"/>
          <w:b/>
          <w:bCs/>
          <w:color w:val="auto"/>
          <w:kern w:val="0"/>
          <w:sz w:val="32"/>
          <w:szCs w:val="32"/>
        </w:rPr>
      </w:pPr>
    </w:p>
    <w:p>
      <w:pPr>
        <w:widowControl/>
        <w:spacing w:before="75" w:after="75" w:line="360" w:lineRule="auto"/>
        <w:jc w:val="center"/>
        <w:outlineLvl w:val="0"/>
        <w:rPr>
          <w:rFonts w:hint="eastAsia" w:ascii="宋体" w:hAnsi="宋体" w:eastAsia="宋体" w:cs="宋体"/>
          <w:b/>
          <w:bCs/>
          <w:color w:val="auto"/>
          <w:kern w:val="0"/>
          <w:sz w:val="32"/>
          <w:szCs w:val="32"/>
        </w:rPr>
        <w:sectPr>
          <w:footerReference r:id="rId4" w:type="default"/>
          <w:pgSz w:w="11906" w:h="16838"/>
          <w:pgMar w:top="1440" w:right="1803" w:bottom="1440" w:left="1803" w:header="851" w:footer="992" w:gutter="0"/>
          <w:pgNumType w:fmt="decimal" w:start="1"/>
          <w:cols w:space="0" w:num="1"/>
          <w:docGrid w:type="lines" w:linePitch="312" w:charSpace="0"/>
        </w:sectPr>
      </w:pPr>
    </w:p>
    <w:p>
      <w:pPr>
        <w:widowControl/>
        <w:spacing w:before="75" w:after="75" w:line="360" w:lineRule="auto"/>
        <w:jc w:val="center"/>
        <w:outlineLvl w:val="0"/>
        <w:rPr>
          <w:rFonts w:ascii="宋体" w:hAnsi="宋体" w:eastAsia="宋体" w:cs="宋体"/>
          <w:color w:val="auto"/>
          <w:kern w:val="0"/>
          <w:sz w:val="24"/>
          <w:szCs w:val="24"/>
        </w:rPr>
      </w:pPr>
      <w:r>
        <w:rPr>
          <w:rFonts w:hint="eastAsia" w:ascii="宋体" w:hAnsi="宋体" w:eastAsia="宋体" w:cs="宋体"/>
          <w:b/>
          <w:bCs/>
          <w:color w:val="auto"/>
          <w:kern w:val="0"/>
          <w:sz w:val="32"/>
          <w:szCs w:val="32"/>
        </w:rPr>
        <w:t>第一章  采购公告/采购邀请书</w:t>
      </w:r>
    </w:p>
    <w:p>
      <w:pPr>
        <w:widowControl/>
        <w:spacing w:before="75" w:after="75" w:line="360" w:lineRule="auto"/>
        <w:jc w:val="center"/>
        <w:rPr>
          <w:rFonts w:ascii="宋体" w:hAnsi="宋体" w:eastAsia="宋体" w:cs="宋体"/>
          <w:color w:val="auto"/>
          <w:kern w:val="0"/>
          <w:sz w:val="32"/>
          <w:szCs w:val="32"/>
        </w:rPr>
      </w:pPr>
      <w:r>
        <w:rPr>
          <w:rFonts w:hint="eastAsia" w:ascii="宋体" w:hAnsi="宋体" w:eastAsia="宋体" w:cs="宋体"/>
          <w:b/>
          <w:bCs/>
          <w:color w:val="auto"/>
          <w:kern w:val="0"/>
          <w:sz w:val="32"/>
          <w:szCs w:val="32"/>
        </w:rPr>
        <w:t>        </w:t>
      </w:r>
    </w:p>
    <w:p>
      <w:pPr>
        <w:widowControl/>
        <w:spacing w:before="75" w:after="75" w:line="360" w:lineRule="auto"/>
        <w:jc w:val="center"/>
        <w:outlineLvl w:val="1"/>
        <w:rPr>
          <w:rFonts w:ascii="宋体" w:hAnsi="宋体" w:eastAsia="宋体" w:cs="宋体"/>
          <w:color w:val="auto"/>
          <w:kern w:val="0"/>
          <w:sz w:val="32"/>
          <w:szCs w:val="32"/>
        </w:rPr>
      </w:pPr>
      <w:r>
        <w:rPr>
          <w:rFonts w:hint="eastAsia" w:ascii="宋体" w:hAnsi="宋体" w:eastAsia="宋体" w:cs="宋体"/>
          <w:b/>
          <w:bCs/>
          <w:color w:val="auto"/>
          <w:kern w:val="0"/>
          <w:sz w:val="32"/>
          <w:szCs w:val="32"/>
        </w:rPr>
        <w:t>竞争性谈判采购公告</w:t>
      </w:r>
    </w:p>
    <w:p>
      <w:pPr>
        <w:widowControl/>
        <w:spacing w:before="75" w:after="75"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u w:val="single"/>
          <w:lang w:eastAsia="zh-CN"/>
        </w:rPr>
        <w:t>泉州师范学院</w:t>
      </w:r>
      <w:r>
        <w:rPr>
          <w:rFonts w:hint="eastAsia" w:ascii="宋体" w:hAnsi="宋体" w:eastAsia="宋体" w:cs="宋体"/>
          <w:color w:val="auto"/>
          <w:kern w:val="0"/>
          <w:sz w:val="24"/>
          <w:szCs w:val="24"/>
        </w:rPr>
        <w:t>已根据政府采购相关法律法规，经相应程序确定采用</w:t>
      </w:r>
      <w:r>
        <w:rPr>
          <w:rFonts w:hint="eastAsia" w:ascii="宋体" w:hAnsi="宋体" w:eastAsia="宋体" w:cs="宋体"/>
          <w:b/>
          <w:bCs/>
          <w:color w:val="auto"/>
          <w:kern w:val="0"/>
          <w:sz w:val="24"/>
          <w:szCs w:val="24"/>
          <w:u w:val="single"/>
        </w:rPr>
        <w:t>竞争性谈判</w:t>
      </w:r>
      <w:r>
        <w:rPr>
          <w:rFonts w:hint="eastAsia" w:ascii="宋体" w:hAnsi="宋体" w:eastAsia="宋体" w:cs="宋体"/>
          <w:color w:val="auto"/>
          <w:kern w:val="0"/>
          <w:sz w:val="24"/>
          <w:szCs w:val="24"/>
        </w:rPr>
        <w:t>方式组织</w:t>
      </w:r>
      <w:r>
        <w:rPr>
          <w:rFonts w:hint="eastAsia" w:ascii="宋体" w:hAnsi="宋体" w:eastAsia="宋体" w:cs="宋体"/>
          <w:color w:val="auto"/>
          <w:kern w:val="0"/>
          <w:sz w:val="24"/>
          <w:szCs w:val="24"/>
          <w:u w:val="single"/>
          <w:lang w:eastAsia="zh-CN"/>
        </w:rPr>
        <w:t>泉州师范学院宿舍管理中心青年教师公寓水电管理系统采购项目</w:t>
      </w:r>
      <w:r>
        <w:rPr>
          <w:rFonts w:hint="eastAsia" w:ascii="宋体" w:hAnsi="宋体" w:eastAsia="宋体" w:cs="宋体"/>
          <w:color w:val="auto"/>
          <w:kern w:val="0"/>
          <w:sz w:val="24"/>
          <w:szCs w:val="24"/>
        </w:rPr>
        <w:t>（以下简称：“本项目”）的采购活动，现欢迎国内合格的供应商前来参加。本项目由采购人委托</w:t>
      </w:r>
      <w:r>
        <w:rPr>
          <w:rFonts w:hint="eastAsia" w:ascii="宋体" w:hAnsi="宋体" w:eastAsia="宋体" w:cs="宋体"/>
          <w:color w:val="auto"/>
          <w:kern w:val="0"/>
          <w:sz w:val="24"/>
          <w:szCs w:val="24"/>
          <w:u w:val="single"/>
        </w:rPr>
        <w:t>福建丰盛项目管理有限公司</w:t>
      </w:r>
      <w:r>
        <w:rPr>
          <w:rFonts w:hint="eastAsia" w:ascii="宋体" w:hAnsi="宋体" w:eastAsia="宋体" w:cs="宋体"/>
          <w:color w:val="auto"/>
          <w:kern w:val="0"/>
          <w:sz w:val="24"/>
          <w:szCs w:val="24"/>
        </w:rPr>
        <w:t>开展竞争性谈判活动。</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shd w:val="clear" w:color="auto" w:fill="FFFFFF"/>
        </w:rPr>
        <w:t>1.项目名称：</w:t>
      </w:r>
      <w:r>
        <w:rPr>
          <w:rFonts w:hint="eastAsia" w:ascii="宋体" w:hAnsi="宋体" w:eastAsia="宋体" w:cs="宋体"/>
          <w:color w:val="auto"/>
          <w:kern w:val="0"/>
          <w:sz w:val="24"/>
          <w:szCs w:val="24"/>
          <w:shd w:val="clear" w:color="auto" w:fill="FFFFFF"/>
          <w:lang w:eastAsia="zh-CN"/>
        </w:rPr>
        <w:t>泉州师范学院宿管中心青年教师公寓水电管理系统采购项目</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hint="eastAsia" w:ascii="宋体" w:hAnsi="宋体" w:eastAsia="宋体" w:cs="宋体"/>
          <w:color w:val="auto"/>
          <w:kern w:val="0"/>
          <w:sz w:val="24"/>
          <w:szCs w:val="24"/>
          <w:shd w:val="clear" w:color="auto" w:fill="FFFFFF"/>
          <w:lang w:eastAsia="zh-CN"/>
        </w:rPr>
      </w:pPr>
      <w:r>
        <w:rPr>
          <w:rFonts w:hint="eastAsia" w:ascii="宋体" w:hAnsi="宋体" w:eastAsia="宋体" w:cs="宋体"/>
          <w:color w:val="auto"/>
          <w:kern w:val="0"/>
          <w:sz w:val="24"/>
          <w:szCs w:val="24"/>
          <w:shd w:val="clear" w:color="auto" w:fill="FFFFFF"/>
        </w:rPr>
        <w:t>2.项目编号：</w:t>
      </w:r>
      <w:r>
        <w:rPr>
          <w:rFonts w:hint="eastAsia" w:ascii="宋体" w:hAnsi="宋体" w:eastAsia="宋体" w:cs="宋体"/>
          <w:color w:val="auto"/>
          <w:kern w:val="0"/>
          <w:sz w:val="24"/>
          <w:szCs w:val="24"/>
          <w:shd w:val="clear" w:color="auto" w:fill="FFFFFF"/>
          <w:lang w:eastAsia="zh-CN"/>
        </w:rPr>
        <w:t>FJFS2021015-1</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3.采购内容及要求：</w:t>
      </w:r>
    </w:p>
    <w:p>
      <w:pPr>
        <w:keepNext w:val="0"/>
        <w:keepLines w:val="0"/>
        <w:pageBreakBefore w:val="0"/>
        <w:widowControl/>
        <w:kinsoku/>
        <w:wordWrap/>
        <w:overflowPunct/>
        <w:topLinePunct w:val="0"/>
        <w:bidi w:val="0"/>
        <w:snapToGrid/>
        <w:spacing w:before="100" w:beforeAutospacing="1" w:after="100" w:afterAutospacing="1" w:line="360" w:lineRule="auto"/>
        <w:jc w:val="righ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金额单位：人民币元</w:t>
      </w:r>
    </w:p>
    <w:tbl>
      <w:tblPr>
        <w:tblStyle w:val="10"/>
        <w:tblW w:w="827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55"/>
        <w:gridCol w:w="840"/>
        <w:gridCol w:w="2085"/>
        <w:gridCol w:w="885"/>
        <w:gridCol w:w="1425"/>
        <w:gridCol w:w="1380"/>
        <w:gridCol w:w="100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7" w:hRule="atLeast"/>
          <w:tblHeader/>
        </w:trPr>
        <w:tc>
          <w:tcPr>
            <w:tcW w:w="65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
                <w:color w:val="auto"/>
                <w:kern w:val="0"/>
                <w:sz w:val="24"/>
                <w:szCs w:val="24"/>
              </w:rPr>
            </w:pPr>
            <w:r>
              <w:rPr>
                <w:rFonts w:hint="eastAsia" w:ascii="宋体" w:hAnsi="宋体" w:eastAsia="宋体" w:cs="宋体"/>
                <w:b/>
                <w:color w:val="auto"/>
                <w:kern w:val="0"/>
                <w:sz w:val="24"/>
                <w:szCs w:val="24"/>
              </w:rPr>
              <w:t>合同包</w:t>
            </w:r>
          </w:p>
        </w:tc>
        <w:tc>
          <w:tcPr>
            <w:tcW w:w="84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
                <w:color w:val="auto"/>
                <w:kern w:val="0"/>
                <w:sz w:val="24"/>
                <w:szCs w:val="24"/>
              </w:rPr>
            </w:pPr>
            <w:r>
              <w:rPr>
                <w:rFonts w:hint="eastAsia" w:ascii="宋体" w:hAnsi="宋体" w:eastAsia="宋体" w:cs="宋体"/>
                <w:b/>
                <w:color w:val="auto"/>
                <w:kern w:val="0"/>
                <w:sz w:val="24"/>
                <w:szCs w:val="24"/>
              </w:rPr>
              <w:t>品目号</w:t>
            </w:r>
          </w:p>
        </w:tc>
        <w:tc>
          <w:tcPr>
            <w:tcW w:w="20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
                <w:color w:val="auto"/>
                <w:kern w:val="0"/>
                <w:sz w:val="24"/>
                <w:szCs w:val="24"/>
              </w:rPr>
            </w:pPr>
            <w:r>
              <w:rPr>
                <w:rFonts w:hint="eastAsia" w:ascii="宋体" w:hAnsi="宋体" w:eastAsia="宋体" w:cs="宋体"/>
                <w:b/>
                <w:color w:val="auto"/>
                <w:kern w:val="0"/>
                <w:sz w:val="24"/>
                <w:szCs w:val="24"/>
              </w:rPr>
              <w:t>采购标的</w:t>
            </w:r>
          </w:p>
        </w:tc>
        <w:tc>
          <w:tcPr>
            <w:tcW w:w="8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
                <w:color w:val="auto"/>
                <w:kern w:val="0"/>
                <w:sz w:val="24"/>
                <w:szCs w:val="24"/>
              </w:rPr>
            </w:pPr>
            <w:r>
              <w:rPr>
                <w:rFonts w:hint="eastAsia" w:ascii="宋体" w:hAnsi="宋体" w:eastAsia="宋体" w:cs="宋体"/>
                <w:b/>
                <w:color w:val="auto"/>
                <w:kern w:val="0"/>
                <w:sz w:val="24"/>
                <w:szCs w:val="24"/>
              </w:rPr>
              <w:t>数量</w:t>
            </w:r>
          </w:p>
        </w:tc>
        <w:tc>
          <w:tcPr>
            <w:tcW w:w="142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
                <w:color w:val="auto"/>
                <w:kern w:val="0"/>
                <w:sz w:val="24"/>
                <w:szCs w:val="24"/>
              </w:rPr>
            </w:pPr>
            <w:r>
              <w:rPr>
                <w:rFonts w:hint="eastAsia" w:ascii="宋体" w:hAnsi="宋体" w:eastAsia="宋体" w:cs="宋体"/>
                <w:b/>
                <w:color w:val="auto"/>
                <w:kern w:val="0"/>
                <w:sz w:val="24"/>
                <w:szCs w:val="24"/>
              </w:rPr>
              <w:t>品目号预算</w:t>
            </w:r>
          </w:p>
        </w:tc>
        <w:tc>
          <w:tcPr>
            <w:tcW w:w="138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
                <w:color w:val="auto"/>
                <w:kern w:val="0"/>
                <w:sz w:val="24"/>
                <w:szCs w:val="24"/>
              </w:rPr>
            </w:pPr>
            <w:r>
              <w:rPr>
                <w:rFonts w:hint="eastAsia" w:ascii="宋体" w:hAnsi="宋体" w:eastAsia="宋体" w:cs="宋体"/>
                <w:b/>
                <w:color w:val="auto"/>
                <w:kern w:val="0"/>
                <w:sz w:val="24"/>
                <w:szCs w:val="24"/>
              </w:rPr>
              <w:t>合同包预算</w:t>
            </w:r>
          </w:p>
        </w:tc>
        <w:tc>
          <w:tcPr>
            <w:tcW w:w="100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
                <w:color w:val="auto"/>
                <w:kern w:val="0"/>
                <w:sz w:val="24"/>
                <w:szCs w:val="24"/>
              </w:rPr>
            </w:pPr>
            <w:r>
              <w:rPr>
                <w:rFonts w:hint="eastAsia" w:ascii="宋体" w:hAnsi="宋体" w:eastAsia="宋体" w:cs="宋体"/>
                <w:b/>
                <w:color w:val="auto"/>
                <w:kern w:val="0"/>
                <w:sz w:val="24"/>
                <w:szCs w:val="24"/>
              </w:rPr>
              <w:t>谈判</w:t>
            </w:r>
          </w:p>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
                <w:color w:val="auto"/>
                <w:kern w:val="0"/>
                <w:sz w:val="24"/>
                <w:szCs w:val="24"/>
              </w:rPr>
            </w:pPr>
            <w:r>
              <w:rPr>
                <w:rFonts w:hint="eastAsia" w:ascii="宋体" w:hAnsi="宋体" w:eastAsia="宋体" w:cs="宋体"/>
                <w:b/>
                <w:color w:val="auto"/>
                <w:kern w:val="0"/>
                <w:sz w:val="24"/>
                <w:szCs w:val="24"/>
              </w:rPr>
              <w:t>保证金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3" w:hRule="atLeast"/>
          <w:tblHeader/>
        </w:trPr>
        <w:tc>
          <w:tcPr>
            <w:tcW w:w="655" w:type="dxa"/>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84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1-1</w:t>
            </w:r>
          </w:p>
        </w:tc>
        <w:tc>
          <w:tcPr>
            <w:tcW w:w="20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kern w:val="0"/>
                <w:sz w:val="24"/>
                <w:szCs w:val="24"/>
                <w:lang w:eastAsia="zh-CN"/>
              </w:rPr>
              <w:t>水电管理系统</w:t>
            </w:r>
          </w:p>
        </w:tc>
        <w:tc>
          <w:tcPr>
            <w:tcW w:w="88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Cs/>
                <w:color w:val="auto"/>
                <w:kern w:val="0"/>
                <w:sz w:val="24"/>
                <w:szCs w:val="24"/>
              </w:rPr>
            </w:pPr>
            <w:r>
              <w:rPr>
                <w:rFonts w:hint="eastAsia" w:ascii="宋体" w:hAnsi="宋体" w:eastAsia="宋体" w:cs="宋体"/>
                <w:bCs/>
                <w:color w:val="auto"/>
                <w:kern w:val="0"/>
                <w:sz w:val="24"/>
                <w:szCs w:val="24"/>
              </w:rPr>
              <w:t>1（</w:t>
            </w:r>
            <w:r>
              <w:rPr>
                <w:rFonts w:hint="eastAsia" w:ascii="宋体" w:hAnsi="宋体" w:eastAsia="宋体" w:cs="宋体"/>
                <w:bCs/>
                <w:color w:val="auto"/>
                <w:kern w:val="0"/>
                <w:sz w:val="24"/>
                <w:szCs w:val="24"/>
                <w:lang w:eastAsia="zh-CN"/>
              </w:rPr>
              <w:t>批</w:t>
            </w:r>
            <w:r>
              <w:rPr>
                <w:rFonts w:hint="eastAsia" w:ascii="宋体" w:hAnsi="宋体" w:eastAsia="宋体" w:cs="宋体"/>
                <w:bCs/>
                <w:color w:val="auto"/>
                <w:kern w:val="0"/>
                <w:sz w:val="24"/>
                <w:szCs w:val="24"/>
              </w:rPr>
              <w:t>）</w:t>
            </w:r>
          </w:p>
        </w:tc>
        <w:tc>
          <w:tcPr>
            <w:tcW w:w="142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lang w:eastAsia="zh-CN"/>
              </w:rPr>
              <w:t>251000</w:t>
            </w:r>
          </w:p>
        </w:tc>
        <w:tc>
          <w:tcPr>
            <w:tcW w:w="1380" w:type="dxa"/>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hint="eastAsia" w:ascii="宋体" w:hAnsi="宋体" w:eastAsia="宋体" w:cs="宋体"/>
                <w:bCs/>
                <w:color w:val="auto"/>
                <w:kern w:val="0"/>
                <w:sz w:val="24"/>
                <w:szCs w:val="24"/>
                <w:lang w:eastAsia="zh-CN"/>
              </w:rPr>
            </w:pPr>
            <w:r>
              <w:rPr>
                <w:rFonts w:hint="eastAsia" w:ascii="宋体" w:hAnsi="宋体" w:eastAsia="宋体" w:cs="宋体"/>
                <w:bCs/>
                <w:color w:val="auto"/>
                <w:sz w:val="24"/>
                <w:szCs w:val="24"/>
                <w:lang w:eastAsia="zh-CN"/>
              </w:rPr>
              <w:t>251000</w:t>
            </w:r>
          </w:p>
        </w:tc>
        <w:tc>
          <w:tcPr>
            <w:tcW w:w="1005" w:type="dxa"/>
            <w:tcBorders>
              <w:top w:val="outset" w:color="auto" w:sz="6" w:space="0"/>
              <w:left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line="360" w:lineRule="auto"/>
              <w:jc w:val="center"/>
              <w:textAlignment w:val="auto"/>
              <w:rPr>
                <w:rFonts w:hint="default" w:ascii="宋体" w:hAnsi="宋体" w:eastAsia="宋体" w:cs="宋体"/>
                <w:bCs/>
                <w:color w:val="auto"/>
                <w:kern w:val="0"/>
                <w:sz w:val="24"/>
                <w:szCs w:val="24"/>
                <w:lang w:val="en-US" w:eastAsia="zh-CN"/>
              </w:rPr>
            </w:pPr>
            <w:r>
              <w:rPr>
                <w:rFonts w:hint="default" w:ascii="宋体" w:hAnsi="宋体" w:eastAsia="宋体" w:cs="宋体"/>
                <w:bCs/>
                <w:color w:val="auto"/>
                <w:kern w:val="0"/>
                <w:sz w:val="24"/>
                <w:szCs w:val="24"/>
                <w:lang w:val="en-US" w:eastAsia="zh-CN"/>
              </w:rPr>
              <w:t>0</w:t>
            </w:r>
          </w:p>
        </w:tc>
      </w:tr>
    </w:tbl>
    <w:p>
      <w:pPr>
        <w:pStyle w:val="8"/>
        <w:keepNext w:val="0"/>
        <w:keepLines w:val="0"/>
        <w:pageBreakBefore w:val="0"/>
        <w:widowControl/>
        <w:kinsoku/>
        <w:wordWrap/>
        <w:overflowPunct/>
        <w:topLinePunct w:val="0"/>
        <w:bidi w:val="0"/>
        <w:snapToGrid/>
        <w:spacing w:before="75" w:beforeAutospacing="0" w:after="75" w:afterAutospacing="0" w:line="360" w:lineRule="auto"/>
        <w:ind w:firstLine="480" w:firstLineChars="200"/>
        <w:textAlignment w:val="auto"/>
        <w:rPr>
          <w:rFonts w:hint="eastAsia" w:ascii="宋体" w:hAnsi="宋体" w:eastAsia="宋体" w:cs="宋体"/>
          <w:color w:val="auto"/>
          <w:shd w:val="clear" w:color="auto" w:fill="FFFFFF"/>
        </w:rPr>
      </w:pPr>
      <w:r>
        <w:rPr>
          <w:rFonts w:hint="eastAsia" w:ascii="宋体" w:hAnsi="宋体" w:eastAsia="宋体" w:cs="宋体"/>
          <w:color w:val="auto"/>
          <w:shd w:val="clear" w:color="auto" w:fill="FFFFFF"/>
        </w:rPr>
        <w:t>4.采购项目需要落实的政府采购政策：节能产品，适用于（合同包1），按</w:t>
      </w:r>
      <w:r>
        <w:rPr>
          <w:rFonts w:hint="eastAsia" w:ascii="宋体" w:hAnsi="宋体" w:eastAsia="宋体" w:cs="宋体"/>
          <w:color w:val="auto"/>
          <w:highlight w:val="none"/>
          <w:shd w:val="clear" w:color="auto" w:fill="FFFFFF"/>
        </w:rPr>
        <w:t>照《关于印发节能产品政府采购品目清单的通知》财库〔2019〕19号执行。环境标志产品，适用于（合同包1），</w:t>
      </w:r>
      <w:r>
        <w:rPr>
          <w:rFonts w:hint="eastAsia" w:ascii="宋体" w:hAnsi="宋体" w:eastAsia="宋体" w:cs="宋体"/>
          <w:color w:val="auto"/>
          <w:sz w:val="24"/>
          <w:szCs w:val="24"/>
          <w:highlight w:val="none"/>
        </w:rPr>
        <w:t>按照《关于印发环境标志产品政府采购品目清单的通知》财库〔2019〕18号执行。</w:t>
      </w:r>
      <w:r>
        <w:rPr>
          <w:rFonts w:hint="eastAsia" w:ascii="宋体" w:hAnsi="宋体" w:eastAsia="宋体" w:cs="宋体"/>
          <w:color w:val="auto"/>
          <w:highlight w:val="none"/>
          <w:shd w:val="clear" w:color="auto" w:fill="FFFFFF"/>
        </w:rPr>
        <w:t>信息安全产品，适用于（合同包1）。小型、微型企业符合财政部、工信部文件（财库〔2020〕46号），适用于（合同包1）。监狱企业，适用于（合同包1）。促进残疾人就业 ，适用于</w:t>
      </w:r>
      <w:r>
        <w:rPr>
          <w:rFonts w:hint="eastAsia" w:ascii="宋体" w:hAnsi="宋体" w:eastAsia="宋体" w:cs="宋体"/>
          <w:color w:val="auto"/>
          <w:shd w:val="clear" w:color="auto" w:fill="FFFFFF"/>
        </w:rPr>
        <w:t>（合同包1）。信用记录，适用于（合同包1），按照下列规定执行：（1）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8"/>
        <w:keepNext w:val="0"/>
        <w:keepLines w:val="0"/>
        <w:pageBreakBefore w:val="0"/>
        <w:widowControl/>
        <w:kinsoku/>
        <w:wordWrap/>
        <w:overflowPunct/>
        <w:topLinePunct w:val="0"/>
        <w:bidi w:val="0"/>
        <w:snapToGrid/>
        <w:spacing w:before="75" w:beforeAutospacing="0" w:after="75" w:afterAutospacing="0" w:line="360" w:lineRule="auto"/>
        <w:ind w:firstLine="480" w:firstLineChars="200"/>
        <w:textAlignment w:val="auto"/>
        <w:rPr>
          <w:rFonts w:ascii="宋体" w:hAnsi="宋体" w:eastAsia="宋体" w:cs="宋体"/>
          <w:color w:val="auto"/>
        </w:rPr>
      </w:pPr>
      <w:r>
        <w:rPr>
          <w:rFonts w:hint="eastAsia" w:ascii="宋体" w:hAnsi="宋体" w:eastAsia="宋体" w:cs="宋体"/>
          <w:color w:val="auto"/>
        </w:rPr>
        <w:t>5.供应商的资格要求：</w:t>
      </w:r>
    </w:p>
    <w:p>
      <w:pPr>
        <w:pStyle w:val="8"/>
        <w:keepNext w:val="0"/>
        <w:keepLines w:val="0"/>
        <w:pageBreakBefore w:val="0"/>
        <w:widowControl/>
        <w:kinsoku/>
        <w:wordWrap/>
        <w:overflowPunct/>
        <w:topLinePunct w:val="0"/>
        <w:bidi w:val="0"/>
        <w:snapToGrid/>
        <w:spacing w:before="75" w:beforeAutospacing="0" w:after="75" w:afterAutospacing="0" w:line="360" w:lineRule="auto"/>
        <w:ind w:firstLine="480" w:firstLineChars="200"/>
        <w:textAlignment w:val="auto"/>
        <w:rPr>
          <w:rFonts w:ascii="宋体" w:hAnsi="宋体" w:eastAsia="宋体" w:cs="宋体"/>
          <w:color w:val="auto"/>
        </w:rPr>
      </w:pPr>
      <w:r>
        <w:rPr>
          <w:rFonts w:hint="eastAsia" w:ascii="宋体" w:hAnsi="宋体" w:eastAsia="宋体" w:cs="宋体"/>
          <w:color w:val="auto"/>
          <w:shd w:val="clear" w:color="auto" w:fill="FFFFFF"/>
        </w:rPr>
        <w:t>5.1符合《中华人民共和国政府采购法》第二十二条第一款规定的条件。</w:t>
      </w:r>
    </w:p>
    <w:p>
      <w:pPr>
        <w:pStyle w:val="8"/>
        <w:keepNext w:val="0"/>
        <w:keepLines w:val="0"/>
        <w:pageBreakBefore w:val="0"/>
        <w:widowControl/>
        <w:kinsoku/>
        <w:wordWrap/>
        <w:overflowPunct/>
        <w:topLinePunct w:val="0"/>
        <w:bidi w:val="0"/>
        <w:snapToGrid/>
        <w:spacing w:before="75" w:beforeAutospacing="0" w:after="75" w:afterAutospacing="0" w:line="360" w:lineRule="auto"/>
        <w:ind w:firstLine="480" w:firstLineChars="200"/>
        <w:textAlignment w:val="auto"/>
        <w:rPr>
          <w:rFonts w:ascii="宋体" w:hAnsi="宋体" w:eastAsia="宋体" w:cs="宋体"/>
          <w:color w:val="auto"/>
          <w:shd w:val="clear" w:color="auto" w:fill="FFFFFF"/>
        </w:rPr>
      </w:pPr>
      <w:r>
        <w:rPr>
          <w:rFonts w:hint="eastAsia" w:ascii="宋体" w:hAnsi="宋体" w:eastAsia="宋体" w:cs="宋体"/>
          <w:color w:val="auto"/>
          <w:shd w:val="clear" w:color="auto" w:fill="FFFFFF"/>
        </w:rPr>
        <w:t>5.2特定条件：</w:t>
      </w:r>
    </w:p>
    <w:p>
      <w:pPr>
        <w:pStyle w:val="8"/>
        <w:keepNext w:val="0"/>
        <w:keepLines w:val="0"/>
        <w:pageBreakBefore w:val="0"/>
        <w:widowControl/>
        <w:kinsoku/>
        <w:wordWrap/>
        <w:overflowPunct/>
        <w:topLinePunct w:val="0"/>
        <w:bidi w:val="0"/>
        <w:snapToGrid/>
        <w:spacing w:before="75" w:beforeAutospacing="0" w:after="75" w:afterAutospacing="0" w:line="360" w:lineRule="auto"/>
        <w:ind w:firstLine="482" w:firstLineChars="200"/>
        <w:textAlignment w:val="auto"/>
        <w:rPr>
          <w:rFonts w:ascii="宋体" w:hAnsi="宋体" w:eastAsia="宋体" w:cs="宋体"/>
          <w:color w:val="auto"/>
        </w:rPr>
      </w:pPr>
      <w:r>
        <w:rPr>
          <w:rStyle w:val="13"/>
          <w:rFonts w:hint="eastAsia" w:ascii="宋体" w:hAnsi="宋体" w:eastAsia="宋体" w:cs="宋体"/>
          <w:color w:val="auto"/>
          <w:shd w:val="clear" w:color="auto" w:fill="FFFFFF"/>
        </w:rPr>
        <w:t>包1</w:t>
      </w:r>
    </w:p>
    <w:tbl>
      <w:tblPr>
        <w:tblStyle w:val="10"/>
        <w:tblW w:w="8336"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80"/>
        <w:gridCol w:w="5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3280"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
                <w:color w:val="auto"/>
              </w:rPr>
            </w:pPr>
            <w:r>
              <w:rPr>
                <w:rFonts w:hint="eastAsia" w:ascii="宋体" w:hAnsi="宋体" w:eastAsia="宋体" w:cs="宋体"/>
                <w:b/>
                <w:color w:val="auto"/>
                <w:kern w:val="0"/>
                <w:sz w:val="24"/>
              </w:rPr>
              <w:t>明细</w:t>
            </w:r>
          </w:p>
        </w:tc>
        <w:tc>
          <w:tcPr>
            <w:tcW w:w="5056"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b/>
                <w:color w:val="auto"/>
              </w:rPr>
            </w:pPr>
            <w:r>
              <w:rPr>
                <w:rFonts w:hint="eastAsia" w:ascii="宋体" w:hAnsi="宋体" w:eastAsia="宋体" w:cs="宋体"/>
                <w:b/>
                <w:color w:val="auto"/>
                <w:kern w:val="0"/>
                <w:sz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280" w:type="dxa"/>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rPr>
            </w:pPr>
            <w:r>
              <w:rPr>
                <w:rFonts w:hint="eastAsia" w:ascii="宋体" w:hAnsi="宋体" w:eastAsia="宋体" w:cs="宋体"/>
                <w:color w:val="auto"/>
                <w:kern w:val="0"/>
                <w:sz w:val="24"/>
                <w:szCs w:val="24"/>
              </w:rPr>
              <w:t>招标文件规定的其他资格证明文件（若有）</w:t>
            </w:r>
          </w:p>
        </w:tc>
        <w:tc>
          <w:tcPr>
            <w:tcW w:w="5056" w:type="dxa"/>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rPr>
            </w:pPr>
            <w:r>
              <w:rPr>
                <w:rFonts w:hint="eastAsia" w:ascii="宋体" w:hAnsi="宋体" w:eastAsia="宋体" w:cs="宋体"/>
                <w:color w:val="auto"/>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w:t>
            </w:r>
            <w:r>
              <w:rPr>
                <w:rFonts w:hint="eastAsia" w:ascii="宋体" w:hAnsi="宋体" w:eastAsia="宋体" w:cs="宋体"/>
                <w:color w:val="auto"/>
                <w:kern w:val="0"/>
                <w:sz w:val="24"/>
                <w:szCs w:val="24"/>
                <w:lang w:eastAsia="zh-CN"/>
              </w:rPr>
              <w:t>五</w:t>
            </w:r>
            <w:r>
              <w:rPr>
                <w:rFonts w:hint="eastAsia" w:ascii="宋体" w:hAnsi="宋体" w:eastAsia="宋体" w:cs="宋体"/>
                <w:color w:val="auto"/>
                <w:kern w:val="0"/>
                <w:sz w:val="24"/>
                <w:szCs w:val="24"/>
              </w:rPr>
              <w:t>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280" w:type="dxa"/>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rPr>
            </w:pPr>
            <w:r>
              <w:rPr>
                <w:rFonts w:hint="eastAsia" w:ascii="宋体" w:hAnsi="宋体" w:eastAsia="宋体" w:cs="宋体"/>
                <w:color w:val="auto"/>
                <w:kern w:val="0"/>
                <w:sz w:val="24"/>
                <w:szCs w:val="24"/>
              </w:rPr>
              <w:t>具备履行合同所必需设备和专业技术能力专项证明材料（若有）</w:t>
            </w:r>
          </w:p>
        </w:tc>
        <w:tc>
          <w:tcPr>
            <w:tcW w:w="5056" w:type="dxa"/>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rPr>
            </w:pPr>
            <w:r>
              <w:rPr>
                <w:rFonts w:hint="eastAsia" w:ascii="宋体" w:hAnsi="宋体" w:eastAsia="宋体" w:cs="宋体"/>
                <w:color w:val="auto"/>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pStyle w:val="8"/>
        <w:keepNext w:val="0"/>
        <w:keepLines w:val="0"/>
        <w:pageBreakBefore w:val="0"/>
        <w:widowControl/>
        <w:kinsoku/>
        <w:wordWrap/>
        <w:overflowPunct/>
        <w:topLinePunct w:val="0"/>
        <w:bidi w:val="0"/>
        <w:snapToGrid/>
        <w:spacing w:before="75" w:beforeAutospacing="0" w:after="75" w:afterAutospacing="0" w:line="360" w:lineRule="auto"/>
        <w:ind w:firstLine="480" w:firstLineChars="200"/>
        <w:textAlignment w:val="auto"/>
        <w:rPr>
          <w:rFonts w:ascii="宋体" w:hAnsi="宋体" w:eastAsia="宋体" w:cs="宋体"/>
          <w:color w:val="auto"/>
          <w:shd w:val="clear" w:color="auto" w:fill="FFFFFF"/>
        </w:rPr>
      </w:pPr>
      <w:r>
        <w:rPr>
          <w:rFonts w:hint="eastAsia" w:ascii="宋体" w:hAnsi="宋体" w:eastAsia="宋体" w:cs="宋体"/>
          <w:color w:val="auto"/>
          <w:shd w:val="clear" w:color="auto" w:fill="FFFFFF"/>
        </w:rPr>
        <w:t>5.3是否接受联合体形式的响应谈判：</w:t>
      </w:r>
      <w:r>
        <w:rPr>
          <w:rFonts w:hint="eastAsia" w:ascii="宋体" w:hAnsi="宋体" w:eastAsia="宋体" w:cs="宋体"/>
          <w:color w:val="auto"/>
          <w:u w:val="single"/>
          <w:shd w:val="clear" w:color="auto" w:fill="FFFFFF"/>
        </w:rPr>
        <w:t>不接受。</w:t>
      </w:r>
    </w:p>
    <w:p>
      <w:pPr>
        <w:pStyle w:val="8"/>
        <w:keepNext w:val="0"/>
        <w:keepLines w:val="0"/>
        <w:pageBreakBefore w:val="0"/>
        <w:widowControl/>
        <w:kinsoku/>
        <w:wordWrap/>
        <w:overflowPunct/>
        <w:topLinePunct w:val="0"/>
        <w:bidi w:val="0"/>
        <w:snapToGrid/>
        <w:spacing w:before="75" w:beforeAutospacing="0" w:after="75" w:afterAutospacing="0" w:line="360" w:lineRule="auto"/>
        <w:ind w:firstLine="482" w:firstLineChars="200"/>
        <w:textAlignment w:val="auto"/>
        <w:rPr>
          <w:rFonts w:ascii="宋体" w:hAnsi="宋体" w:eastAsia="宋体" w:cs="宋体"/>
          <w:color w:val="auto"/>
        </w:rPr>
      </w:pPr>
      <w:r>
        <w:rPr>
          <w:rStyle w:val="13"/>
          <w:rFonts w:hint="eastAsia" w:ascii="宋体" w:hAnsi="宋体" w:eastAsia="宋体" w:cs="宋体"/>
          <w:color w:val="auto"/>
        </w:rPr>
        <w:t>※</w:t>
      </w:r>
      <w:r>
        <w:rPr>
          <w:rStyle w:val="13"/>
          <w:rFonts w:hint="eastAsia" w:ascii="宋体" w:hAnsi="宋体" w:eastAsia="宋体" w:cs="宋体"/>
          <w:color w:val="auto"/>
          <w:shd w:val="clear" w:color="auto" w:fill="FFFFFF"/>
        </w:rPr>
        <w:t>根据上述资格要求，供应商响应文件中应提交的“资格证明文件”相关规定和资料要求，详见竞争性谈判须知前附表和谈判文件第五章。</w:t>
      </w:r>
    </w:p>
    <w:p>
      <w:pPr>
        <w:pStyle w:val="8"/>
        <w:keepNext w:val="0"/>
        <w:keepLines w:val="0"/>
        <w:pageBreakBefore w:val="0"/>
        <w:widowControl/>
        <w:kinsoku/>
        <w:wordWrap/>
        <w:overflowPunct/>
        <w:topLinePunct w:val="0"/>
        <w:bidi w:val="0"/>
        <w:snapToGrid/>
        <w:spacing w:before="75" w:beforeAutospacing="0" w:after="75" w:afterAutospacing="0" w:line="360" w:lineRule="auto"/>
        <w:ind w:firstLine="480" w:firstLineChars="200"/>
        <w:textAlignment w:val="auto"/>
        <w:rPr>
          <w:rFonts w:ascii="宋体" w:hAnsi="宋体" w:eastAsia="宋体" w:cs="宋体"/>
          <w:color w:val="auto"/>
        </w:rPr>
      </w:pPr>
      <w:r>
        <w:rPr>
          <w:rFonts w:hint="eastAsia" w:ascii="宋体" w:hAnsi="宋体" w:eastAsia="宋体" w:cs="宋体"/>
          <w:color w:val="auto"/>
          <w:shd w:val="clear" w:color="auto" w:fill="FFFFFF"/>
        </w:rPr>
        <w:t>6.</w:t>
      </w:r>
      <w:r>
        <w:rPr>
          <w:rFonts w:hint="eastAsia" w:ascii="宋体" w:hAnsi="宋体" w:eastAsia="宋体" w:cs="宋体"/>
          <w:color w:val="auto"/>
          <w:szCs w:val="24"/>
        </w:rPr>
        <w:t>供应商报名期限：详见谈判公告或更正公告（若有），若不一致，以更正公告（若有）为准</w:t>
      </w:r>
      <w:r>
        <w:rPr>
          <w:rFonts w:hint="eastAsia" w:ascii="宋体" w:hAnsi="宋体" w:eastAsia="宋体" w:cs="宋体"/>
          <w:color w:val="auto"/>
          <w:szCs w:val="24"/>
          <w:shd w:val="clear" w:color="auto" w:fill="FFFFFF"/>
        </w:rPr>
        <w:t>。</w:t>
      </w:r>
    </w:p>
    <w:p>
      <w:pPr>
        <w:pStyle w:val="8"/>
        <w:keepNext w:val="0"/>
        <w:keepLines w:val="0"/>
        <w:pageBreakBefore w:val="0"/>
        <w:widowControl/>
        <w:kinsoku/>
        <w:wordWrap/>
        <w:overflowPunct/>
        <w:topLinePunct w:val="0"/>
        <w:bidi w:val="0"/>
        <w:snapToGrid/>
        <w:spacing w:before="75" w:beforeAutospacing="0" w:after="75" w:afterAutospacing="0" w:line="360" w:lineRule="auto"/>
        <w:ind w:firstLine="480" w:firstLineChars="200"/>
        <w:textAlignment w:val="auto"/>
        <w:rPr>
          <w:rFonts w:ascii="宋体" w:hAnsi="宋体" w:eastAsia="宋体" w:cs="宋体"/>
          <w:color w:val="auto"/>
        </w:rPr>
      </w:pPr>
      <w:r>
        <w:rPr>
          <w:rFonts w:hint="eastAsia" w:ascii="宋体" w:hAnsi="宋体" w:eastAsia="宋体" w:cs="宋体"/>
          <w:color w:val="auto"/>
          <w:szCs w:val="24"/>
          <w:shd w:val="clear" w:color="auto" w:fill="FFFFFF"/>
        </w:rPr>
        <w:t>6.1如果采购过程中有发出更正公告，采购人将根据实际情况确定是否延长报名期限，则报名截止时间以更正公告中的约定为准。</w:t>
      </w:r>
    </w:p>
    <w:p>
      <w:pPr>
        <w:pStyle w:val="8"/>
        <w:keepNext w:val="0"/>
        <w:keepLines w:val="0"/>
        <w:pageBreakBefore w:val="0"/>
        <w:widowControl/>
        <w:kinsoku/>
        <w:wordWrap/>
        <w:overflowPunct/>
        <w:topLinePunct w:val="0"/>
        <w:bidi w:val="0"/>
        <w:snapToGrid/>
        <w:spacing w:before="75" w:beforeAutospacing="0" w:after="75" w:afterAutospacing="0" w:line="360" w:lineRule="auto"/>
        <w:ind w:firstLine="480" w:firstLineChars="200"/>
        <w:textAlignment w:val="auto"/>
        <w:rPr>
          <w:rFonts w:ascii="宋体" w:hAnsi="宋体" w:eastAsia="宋体" w:cs="宋体"/>
          <w:color w:val="auto"/>
          <w:szCs w:val="24"/>
        </w:rPr>
      </w:pPr>
      <w:r>
        <w:rPr>
          <w:rFonts w:hint="eastAsia" w:ascii="宋体" w:hAnsi="宋体" w:eastAsia="宋体" w:cs="宋体"/>
          <w:color w:val="auto"/>
          <w:szCs w:val="24"/>
          <w:shd w:val="clear" w:color="auto" w:fill="FFFFFF"/>
        </w:rPr>
        <w:t>6.2报名期限内，供应商应通过向福建丰盛项目管理有限公司对本项目进行报名(请致电联系，或至福建省泉州市丰泽区坪山路255号泉州理工职业学院思恩楼6楼601报名)。未报名将导致其响应文件被拒收。</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7.获取采购文件时间、地点、方式：</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7.1采购文件的提供期限：详见谈判公告或更正公告（若有），若不一致，以更正公告（若有）为准。</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7.2获取地点及方式：应凡有意参加的供应商可按下述地址到福建丰盛项目管理有限公司（福建省泉州市丰泽区坪山路255号泉州理工职业学院思恩楼6楼601）购买竞争性谈判文件，未购买谈判文件的投标人，其投标将被拒绝。</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8.采购文件售价：200元。售后不退，若需邮寄，请加付邮寄费50元。对邮寄过程中可能发生的延误或丢失，招标代理机构概不负责。   </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9.首次响应文件递交截止时间及地点：详见谈判公告或更正公告（若有），若不一致，以更正公告（若有）为准。供应商应在此之前将密封的首次响应文件送达本章第10条载明的地点，逾期送达的或不符合规定的响应文件将被拒绝接收。</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10.谈判时间及地点：详见谈判公告或更正公告（若有），若不一致，以更正公告（若有）为准。</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11.竞争性谈判公告期限：自财政部指定的政府采购信息发布媒体最先发布公告之日起3个工作日。</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12.采购人：</w:t>
      </w:r>
      <w:r>
        <w:rPr>
          <w:rFonts w:hint="eastAsia" w:ascii="宋体" w:hAnsi="宋体" w:eastAsia="宋体" w:cs="宋体"/>
          <w:color w:val="auto"/>
          <w:kern w:val="0"/>
          <w:sz w:val="24"/>
          <w:szCs w:val="24"/>
          <w:lang w:eastAsia="zh-CN"/>
        </w:rPr>
        <w:t>泉州师范学院</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地  址：福建省泉州市丰泽区东海大街398号</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联</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系</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人：</w:t>
      </w:r>
      <w:r>
        <w:rPr>
          <w:rFonts w:hint="eastAsia" w:ascii="宋体" w:hAnsi="宋体" w:eastAsia="宋体" w:cs="宋体"/>
          <w:color w:val="auto"/>
          <w:kern w:val="0"/>
          <w:sz w:val="24"/>
          <w:szCs w:val="24"/>
          <w:lang w:eastAsia="zh-CN"/>
        </w:rPr>
        <w:t>杨老师</w:t>
      </w:r>
      <w:r>
        <w:rPr>
          <w:rFonts w:hint="eastAsia" w:ascii="宋体" w:hAnsi="宋体" w:eastAsia="宋体" w:cs="宋体"/>
          <w:color w:val="auto"/>
          <w:kern w:val="0"/>
          <w:sz w:val="24"/>
          <w:szCs w:val="24"/>
        </w:rPr>
        <w:t xml:space="preserve"> </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联系方法：0595-22919532</w:t>
      </w:r>
    </w:p>
    <w:p>
      <w:pPr>
        <w:pStyle w:val="2"/>
        <w:keepNext w:val="0"/>
        <w:keepLines w:val="0"/>
        <w:pageBreakBefore w:val="0"/>
        <w:kinsoku/>
        <w:wordWrap/>
        <w:overflowPunct/>
        <w:topLinePunct w:val="0"/>
        <w:bidi w:val="0"/>
        <w:snapToGrid/>
        <w:spacing w:line="360" w:lineRule="auto"/>
        <w:textAlignment w:val="auto"/>
        <w:rPr>
          <w:color w:val="auto"/>
        </w:rPr>
      </w:pP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代理机构：福建丰盛项目管理有限公司</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地  址：福建省泉州市丰泽区坪山路255号泉州理工职业学院思恩楼</w:t>
      </w:r>
    </w:p>
    <w:p>
      <w:pPr>
        <w:keepNext w:val="0"/>
        <w:keepLines w:val="0"/>
        <w:pageBreakBefore w:val="0"/>
        <w:widowControl/>
        <w:kinsoku/>
        <w:wordWrap/>
        <w:overflowPunct/>
        <w:topLinePunct w:val="0"/>
        <w:bidi w:val="0"/>
        <w:snapToGrid/>
        <w:spacing w:before="75" w:after="75" w:line="360" w:lineRule="auto"/>
        <w:ind w:firstLine="1680" w:firstLineChars="7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6楼601</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联</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系</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人：小严</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联系方法：</w:t>
      </w:r>
      <w:r>
        <w:rPr>
          <w:rFonts w:hint="default" w:ascii="宋体" w:hAnsi="宋体" w:eastAsia="宋体" w:cs="宋体"/>
          <w:color w:val="auto"/>
          <w:kern w:val="0"/>
          <w:sz w:val="24"/>
          <w:szCs w:val="24"/>
          <w:lang w:val="en-US" w:eastAsia="zh-CN"/>
        </w:rPr>
        <w:t>0595-22896657</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13395062909</w:t>
      </w:r>
    </w:p>
    <w:p>
      <w:pPr>
        <w:pStyle w:val="2"/>
        <w:rPr>
          <w:rFonts w:hint="default"/>
          <w:color w:val="auto"/>
          <w:lang w:val="en-US" w:eastAsia="zh-CN"/>
        </w:rPr>
      </w:pPr>
    </w:p>
    <w:p>
      <w:pPr>
        <w:widowControl/>
        <w:spacing w:before="75" w:after="75" w:line="360" w:lineRule="auto"/>
        <w:ind w:firstLine="48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br w:type="page"/>
      </w:r>
    </w:p>
    <w:p>
      <w:pPr>
        <w:spacing w:line="360" w:lineRule="auto"/>
        <w:jc w:val="center"/>
        <w:rPr>
          <w:rFonts w:ascii="宋体" w:hAnsi="宋体" w:eastAsia="宋体" w:cs="宋体"/>
          <w:b/>
          <w:bCs/>
          <w:color w:val="auto"/>
          <w:kern w:val="0"/>
          <w:sz w:val="44"/>
        </w:rPr>
      </w:pPr>
      <w:r>
        <w:rPr>
          <w:rFonts w:hint="eastAsia" w:ascii="宋体" w:hAnsi="宋体" w:eastAsia="宋体" w:cs="宋体"/>
          <w:b/>
          <w:bCs/>
          <w:color w:val="auto"/>
          <w:kern w:val="0"/>
          <w:sz w:val="32"/>
          <w:szCs w:val="32"/>
        </w:rPr>
        <w:t>第二章  竞争性谈判须知</w:t>
      </w:r>
    </w:p>
    <w:p>
      <w:pPr>
        <w:widowControl/>
        <w:spacing w:line="360" w:lineRule="auto"/>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widowControl/>
        <w:spacing w:before="75" w:after="75" w:line="360" w:lineRule="auto"/>
        <w:jc w:val="center"/>
        <w:outlineLvl w:val="1"/>
        <w:rPr>
          <w:rFonts w:ascii="宋体" w:hAnsi="宋体" w:eastAsia="宋体" w:cs="宋体"/>
          <w:color w:val="auto"/>
          <w:kern w:val="0"/>
          <w:sz w:val="24"/>
          <w:szCs w:val="24"/>
        </w:rPr>
      </w:pPr>
      <w:r>
        <w:rPr>
          <w:rFonts w:hint="eastAsia" w:ascii="宋体" w:hAnsi="宋体" w:eastAsia="宋体" w:cs="宋体"/>
          <w:b/>
          <w:bCs/>
          <w:color w:val="auto"/>
          <w:kern w:val="0"/>
          <w:sz w:val="32"/>
        </w:rPr>
        <w:t>第1节  竞争性谈判须知前附表</w:t>
      </w:r>
    </w:p>
    <w:p>
      <w:pPr>
        <w:keepNext w:val="0"/>
        <w:keepLines w:val="0"/>
        <w:pageBreakBefore w:val="0"/>
        <w:widowControl/>
        <w:kinsoku/>
        <w:overflowPunct/>
        <w:topLinePunct w:val="0"/>
        <w:bidi w:val="0"/>
        <w:spacing w:before="75" w:after="240"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竞争性谈判须知前附表是对竞争性谈判须知的补充和细化，二者如有矛盾，以前附表中的要求和规定为准</w:t>
      </w:r>
    </w:p>
    <w:tbl>
      <w:tblPr>
        <w:tblStyle w:val="10"/>
        <w:tblW w:w="8606"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71"/>
        <w:gridCol w:w="796"/>
        <w:gridCol w:w="7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 w:hRule="atLeast"/>
          <w:tblCellSpacing w:w="15" w:type="dxa"/>
        </w:trPr>
        <w:tc>
          <w:tcPr>
            <w:tcW w:w="526" w:type="dxa"/>
            <w:tcMar>
              <w:top w:w="0" w:type="dxa"/>
              <w:left w:w="105" w:type="dxa"/>
              <w:bottom w:w="0" w:type="dxa"/>
              <w:right w:w="105" w:type="dxa"/>
            </w:tcMa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项号</w:t>
            </w:r>
          </w:p>
        </w:tc>
        <w:tc>
          <w:tcPr>
            <w:tcW w:w="766" w:type="dxa"/>
            <w:tcMar>
              <w:top w:w="0" w:type="dxa"/>
              <w:left w:w="105" w:type="dxa"/>
              <w:bottom w:w="0" w:type="dxa"/>
              <w:right w:w="105" w:type="dxa"/>
            </w:tcMa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条款号</w:t>
            </w:r>
          </w:p>
        </w:tc>
        <w:tc>
          <w:tcPr>
            <w:tcW w:w="7194" w:type="dxa"/>
            <w:tcMar>
              <w:top w:w="0" w:type="dxa"/>
              <w:left w:w="105" w:type="dxa"/>
              <w:bottom w:w="0" w:type="dxa"/>
              <w:right w:w="105" w:type="dxa"/>
            </w:tcMar>
          </w:tcPr>
          <w:p>
            <w:pPr>
              <w:keepNext w:val="0"/>
              <w:keepLines w:val="0"/>
              <w:pageBreakBefore w:val="0"/>
              <w:widowControl/>
              <w:kinsoku/>
              <w:overflowPunct/>
              <w:topLinePunct w:val="0"/>
              <w:bidi w:val="0"/>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76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3.2.1</w:t>
            </w:r>
          </w:p>
        </w:tc>
        <w:tc>
          <w:tcPr>
            <w:tcW w:w="7194"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ind w:firstLine="482" w:firstLineChars="200"/>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供应商的资格要求</w:t>
            </w:r>
            <w:r>
              <w:rPr>
                <w:rFonts w:hint="eastAsia" w:ascii="宋体" w:hAnsi="宋体" w:eastAsia="宋体" w:cs="宋体"/>
                <w:color w:val="auto"/>
                <w:kern w:val="0"/>
                <w:sz w:val="24"/>
                <w:szCs w:val="24"/>
              </w:rPr>
              <w:t>：见谈判文件第一章“采购公告/采购邀请书”</w:t>
            </w:r>
          </w:p>
          <w:p>
            <w:pPr>
              <w:keepNext w:val="0"/>
              <w:keepLines w:val="0"/>
              <w:pageBreakBefore w:val="0"/>
              <w:widowControl/>
              <w:kinsoku/>
              <w:overflowPunct/>
              <w:topLinePunct w:val="0"/>
              <w:bidi w:val="0"/>
              <w:spacing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资格证明文件资料要求：</w:t>
            </w:r>
          </w:p>
          <w:tbl>
            <w:tblPr>
              <w:tblStyle w:val="10"/>
              <w:tblW w:w="6938"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754"/>
              <w:gridCol w:w="4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2754"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明细</w:t>
                  </w:r>
                </w:p>
              </w:tc>
              <w:tc>
                <w:tcPr>
                  <w:tcW w:w="4184"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a1投标函</w:t>
                  </w:r>
                </w:p>
              </w:tc>
              <w:tc>
                <w:tcPr>
                  <w:tcW w:w="418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a2单位负责人授权书</w:t>
                  </w:r>
                </w:p>
              </w:tc>
              <w:tc>
                <w:tcPr>
                  <w:tcW w:w="418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a3法人或者其他组织的营业执照等证明文件，自然人的身份证明</w:t>
                  </w:r>
                </w:p>
              </w:tc>
              <w:tc>
                <w:tcPr>
                  <w:tcW w:w="418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投标人是企业或个体工商户的，则提供工商部门注册的有效的营业执照复印件；投标人是事业单位的，则提供有效的“事业单位法人证书”复印件；投标人是非企业专业服务机构的，则提供执业许可等证明材料；投标人是自然人的，则提供自然人的身份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a4财务状况报告</w:t>
                  </w:r>
                </w:p>
              </w:tc>
              <w:tc>
                <w:tcPr>
                  <w:tcW w:w="418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提供会计师事务所出具的上一年度或上一季度财务审计报告，至少包括“资产负债表、利润表、现金流量表”；或者提供开户许可证和投标截止时间前六个月内基本开户银行出具的资信证明；或者提供财政部门认可的政府采购专业担保机构出具的投标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a5依法缴纳税收的相关材料</w:t>
                  </w:r>
                </w:p>
              </w:tc>
              <w:tc>
                <w:tcPr>
                  <w:tcW w:w="418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提供投标截止时间前六个月任一个月的依法缴纳税收的凭据；或者提供依法免税的相应证明文件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a6依法缴纳社会保障资金的相关材料</w:t>
                  </w:r>
                </w:p>
              </w:tc>
              <w:tc>
                <w:tcPr>
                  <w:tcW w:w="418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提供投标截止时间前六个月任一个月的依法缴纳社会保障资金的凭据；或者提供依法不需要缴纳社会保障资金的相应证明文件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a7具备履行合同所必需的设备和专业技术能力的材料</w:t>
                  </w:r>
                </w:p>
              </w:tc>
              <w:tc>
                <w:tcPr>
                  <w:tcW w:w="418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由招标人根据采购需求在第一章“资格要求特定条件”中详细列明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a8参加政府采购活动前3年内在经营活动中没有重大违法记录的书面声明</w:t>
                  </w:r>
                </w:p>
              </w:tc>
              <w:tc>
                <w:tcPr>
                  <w:tcW w:w="418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重大违法记录”指竞争性谈判供应商因违法经营受到刑事处罚或责令停产停业、吊销许可证或执照、较大数额罚款等行政处罚。2、无法提供有效期内检察机关行贿犯罪档案查询结果告知函的，也应对近三年无行贿犯罪记录进行声明。3、纸质响应文件正本中的本声明应为原件。※竞争性谈判供应商应按照谈判文件第五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a9信用信息查询结果</w:t>
                  </w:r>
                </w:p>
              </w:tc>
              <w:tc>
                <w:tcPr>
                  <w:tcW w:w="418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2754" w:type="dxa"/>
                  <w:vAlign w:val="center"/>
                </w:tcPr>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a10投标保证金</w:t>
                  </w:r>
                </w:p>
              </w:tc>
              <w:tc>
                <w:tcPr>
                  <w:tcW w:w="418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p>
              </w:tc>
            </w:tr>
          </w:tbl>
          <w:p>
            <w:pPr>
              <w:keepNext w:val="0"/>
              <w:keepLines w:val="0"/>
              <w:pageBreakBefore w:val="0"/>
              <w:widowControl/>
              <w:kinsoku/>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rPr>
            </w:pPr>
          </w:p>
          <w:p>
            <w:pPr>
              <w:keepNext w:val="0"/>
              <w:keepLines w:val="0"/>
              <w:pageBreakBefore w:val="0"/>
              <w:widowControl/>
              <w:kinsoku/>
              <w:overflowPunct/>
              <w:topLinePunct w:val="0"/>
              <w:bidi w:val="0"/>
              <w:spacing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keepNext w:val="0"/>
              <w:keepLines w:val="0"/>
              <w:pageBreakBefore w:val="0"/>
              <w:widowControl/>
              <w:kinsoku/>
              <w:overflowPunct/>
              <w:topLinePunct w:val="0"/>
              <w:bidi w:val="0"/>
              <w:spacing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特定资格条件：</w:t>
            </w:r>
          </w:p>
          <w:p>
            <w:pPr>
              <w:keepNext w:val="0"/>
              <w:keepLines w:val="0"/>
              <w:pageBreakBefore w:val="0"/>
              <w:widowControl/>
              <w:kinsoku/>
              <w:overflowPunct/>
              <w:topLinePunct w:val="0"/>
              <w:bidi w:val="0"/>
              <w:spacing w:line="360" w:lineRule="auto"/>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包：1</w:t>
            </w:r>
          </w:p>
          <w:p>
            <w:pPr>
              <w:pStyle w:val="2"/>
              <w:rPr>
                <w:color w:val="auto"/>
              </w:rPr>
            </w:pPr>
          </w:p>
          <w:tbl>
            <w:tblPr>
              <w:tblStyle w:val="10"/>
              <w:tblW w:w="6938"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22"/>
              <w:gridCol w:w="3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3122"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明细</w:t>
                  </w:r>
                </w:p>
              </w:tc>
              <w:tc>
                <w:tcPr>
                  <w:tcW w:w="3816"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122"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招标文件规定的其他资格证明文件（若有）</w:t>
                  </w:r>
                </w:p>
              </w:tc>
              <w:tc>
                <w:tcPr>
                  <w:tcW w:w="3816"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w:t>
                  </w:r>
                  <w:r>
                    <w:rPr>
                      <w:rFonts w:hint="eastAsia" w:ascii="宋体" w:hAnsi="宋体" w:eastAsia="宋体" w:cs="宋体"/>
                      <w:color w:val="auto"/>
                      <w:kern w:val="0"/>
                      <w:sz w:val="24"/>
                      <w:szCs w:val="24"/>
                      <w:lang w:eastAsia="zh-CN"/>
                    </w:rPr>
                    <w:t>五</w:t>
                  </w:r>
                  <w:r>
                    <w:rPr>
                      <w:rFonts w:hint="eastAsia" w:ascii="宋体" w:hAnsi="宋体" w:eastAsia="宋体" w:cs="宋体"/>
                      <w:color w:val="auto"/>
                      <w:kern w:val="0"/>
                      <w:sz w:val="24"/>
                      <w:szCs w:val="24"/>
                    </w:rPr>
                    <w:t>章规定提供。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3122"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具备履行合同所必需设备和专业技术能力专项证明材料（若有）</w:t>
                  </w:r>
                </w:p>
              </w:tc>
              <w:tc>
                <w:tcPr>
                  <w:tcW w:w="3816"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bl>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6"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76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3.2.2</w:t>
            </w:r>
          </w:p>
        </w:tc>
        <w:tc>
          <w:tcPr>
            <w:tcW w:w="7194"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是否接受联合体形式的响应谈判：</w:t>
            </w:r>
            <w:r>
              <w:rPr>
                <w:rFonts w:hint="eastAsia" w:ascii="宋体" w:hAnsi="宋体" w:eastAsia="宋体" w:cs="宋体"/>
                <w:color w:val="auto"/>
                <w:kern w:val="0"/>
                <w:sz w:val="24"/>
                <w:szCs w:val="24"/>
                <w:u w:val="singl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766"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9.1</w:t>
            </w:r>
          </w:p>
        </w:tc>
        <w:tc>
          <w:tcPr>
            <w:tcW w:w="7194"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响应文件有效期：</w:t>
            </w:r>
            <w:r>
              <w:rPr>
                <w:rFonts w:hint="eastAsia" w:ascii="宋体" w:hAnsi="宋体" w:eastAsia="宋体" w:cs="宋体"/>
                <w:color w:val="auto"/>
                <w:kern w:val="0"/>
                <w:sz w:val="24"/>
                <w:szCs w:val="24"/>
              </w:rPr>
              <w:t>首次响应文件提交截止时间起90个日历日。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766"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10.1</w:t>
            </w:r>
          </w:p>
        </w:tc>
        <w:tc>
          <w:tcPr>
            <w:tcW w:w="7194" w:type="dxa"/>
            <w:tcMar>
              <w:top w:w="0" w:type="dxa"/>
              <w:left w:w="105" w:type="dxa"/>
              <w:bottom w:w="0" w:type="dxa"/>
              <w:right w:w="105" w:type="dxa"/>
            </w:tcMa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ascii="宋体" w:hAnsi="宋体" w:eastAsia="宋体" w:cs="宋体"/>
                <w:b/>
                <w:bCs/>
                <w:color w:val="auto"/>
                <w:kern w:val="0"/>
                <w:sz w:val="24"/>
                <w:szCs w:val="24"/>
              </w:rPr>
              <w:t>提交谈判保证金：</w:t>
            </w:r>
          </w:p>
          <w:p>
            <w:pPr>
              <w:keepNext w:val="0"/>
              <w:keepLines w:val="0"/>
              <w:pageBreakBefore w:val="0"/>
              <w:widowControl/>
              <w:kinsoku/>
              <w:overflowPunct/>
              <w:topLinePunct w:val="0"/>
              <w:bidi w:val="0"/>
              <w:spacing w:line="360" w:lineRule="auto"/>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 xml:space="preserve">    无。</w:t>
            </w:r>
          </w:p>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ascii="宋体" w:hAnsi="宋体" w:eastAsia="宋体" w:cs="宋体"/>
                <w:color w:val="auto"/>
                <w:kern w:val="0"/>
                <w:sz w:val="24"/>
                <w:szCs w:val="24"/>
              </w:rPr>
              <w:t>其他约定：无。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766"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10.3.1</w:t>
            </w:r>
          </w:p>
        </w:tc>
        <w:tc>
          <w:tcPr>
            <w:tcW w:w="7194"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谈判保证金退还的其它要求：</w:t>
            </w:r>
            <w:r>
              <w:rPr>
                <w:rFonts w:hint="eastAsia" w:ascii="宋体" w:hAnsi="宋体" w:eastAsia="宋体" w:cs="宋体"/>
                <w:color w:val="auto"/>
                <w:kern w:val="0"/>
                <w:sz w:val="24"/>
                <w:szCs w:val="24"/>
                <w:u w:val="single"/>
              </w:rPr>
              <w:t>无</w:t>
            </w:r>
            <w:r>
              <w:rPr>
                <w:rFonts w:hint="eastAsia" w:ascii="宋体" w:hAnsi="宋体" w:eastAsia="宋体" w:cs="宋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766"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11.1</w:t>
            </w:r>
          </w:p>
        </w:tc>
        <w:tc>
          <w:tcPr>
            <w:tcW w:w="7194"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响应文件的份数</w:t>
            </w:r>
          </w:p>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（1）纸质响应文件 </w:t>
            </w:r>
          </w:p>
          <w:p>
            <w:pPr>
              <w:keepNext w:val="0"/>
              <w:keepLines w:val="0"/>
              <w:pageBreakBefore w:val="0"/>
              <w:widowControl/>
              <w:kinsoku/>
              <w:wordWrap w:val="0"/>
              <w:overflowPunct/>
              <w:topLinePunct w:val="0"/>
              <w:bidi w:val="0"/>
              <w:spacing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①响应文件正本</w:t>
            </w:r>
            <w:r>
              <w:rPr>
                <w:rFonts w:hint="eastAsia" w:ascii="宋体" w:hAnsi="宋体" w:eastAsia="宋体" w:cs="宋体"/>
                <w:color w:val="auto"/>
                <w:kern w:val="0"/>
                <w:sz w:val="24"/>
                <w:szCs w:val="24"/>
                <w:u w:val="single"/>
              </w:rPr>
              <w:t>1</w:t>
            </w:r>
            <w:r>
              <w:rPr>
                <w:rFonts w:hint="eastAsia" w:ascii="宋体" w:hAnsi="宋体" w:eastAsia="宋体" w:cs="宋体"/>
                <w:color w:val="auto"/>
                <w:kern w:val="0"/>
                <w:sz w:val="24"/>
                <w:szCs w:val="24"/>
              </w:rPr>
              <w:t>份、副本</w:t>
            </w:r>
            <w:r>
              <w:rPr>
                <w:rFonts w:hint="eastAsia" w:ascii="宋体" w:hAnsi="宋体" w:eastAsia="宋体" w:cs="宋体"/>
                <w:color w:val="auto"/>
                <w:kern w:val="0"/>
                <w:sz w:val="24"/>
                <w:szCs w:val="24"/>
                <w:u w:val="single"/>
              </w:rPr>
              <w:t>2</w:t>
            </w:r>
            <w:r>
              <w:rPr>
                <w:rFonts w:hint="eastAsia" w:ascii="宋体" w:hAnsi="宋体" w:eastAsia="宋体" w:cs="宋体"/>
                <w:color w:val="auto"/>
                <w:kern w:val="0"/>
                <w:sz w:val="24"/>
                <w:szCs w:val="24"/>
              </w:rPr>
              <w:t>份。</w:t>
            </w:r>
          </w:p>
          <w:p>
            <w:pPr>
              <w:keepNext w:val="0"/>
              <w:keepLines w:val="0"/>
              <w:pageBreakBefore w:val="0"/>
              <w:widowControl/>
              <w:kinsoku/>
              <w:wordWrap w:val="0"/>
              <w:overflowPunct/>
              <w:topLinePunct w:val="0"/>
              <w:bidi w:val="0"/>
              <w:spacing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②可读介质（光盘或U盘）</w:t>
            </w:r>
            <w:r>
              <w:rPr>
                <w:rFonts w:hint="eastAsia" w:ascii="宋体" w:hAnsi="宋体" w:eastAsia="宋体" w:cs="宋体"/>
                <w:color w:val="auto"/>
                <w:kern w:val="0"/>
                <w:sz w:val="24"/>
                <w:szCs w:val="24"/>
                <w:u w:val="single"/>
              </w:rPr>
              <w:t>1</w:t>
            </w:r>
            <w:r>
              <w:rPr>
                <w:rFonts w:hint="eastAsia" w:ascii="宋体" w:hAnsi="宋体" w:eastAsia="宋体" w:cs="宋体"/>
                <w:color w:val="auto"/>
                <w:kern w:val="0"/>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766"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14.4</w:t>
            </w:r>
          </w:p>
        </w:tc>
        <w:tc>
          <w:tcPr>
            <w:tcW w:w="7194" w:type="dxa"/>
            <w:tcMar>
              <w:top w:w="0" w:type="dxa"/>
              <w:left w:w="105" w:type="dxa"/>
              <w:bottom w:w="0" w:type="dxa"/>
              <w:right w:w="105" w:type="dxa"/>
            </w:tcMa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谈判过程中可能发生实质性变动的内容：</w:t>
            </w:r>
            <w:r>
              <w:rPr>
                <w:rFonts w:hint="eastAsia" w:ascii="宋体" w:hAnsi="宋体" w:eastAsia="宋体" w:cs="宋体"/>
                <w:color w:val="auto"/>
                <w:kern w:val="0"/>
                <w:sz w:val="24"/>
                <w:szCs w:val="24"/>
                <w:u w:val="single"/>
              </w:rPr>
              <w:t>无</w:t>
            </w:r>
            <w:r>
              <w:rPr>
                <w:rFonts w:hint="eastAsia" w:ascii="宋体" w:hAnsi="宋体" w:eastAsia="宋体" w:cs="宋体"/>
                <w:color w:val="auto"/>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79"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766"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22.2</w:t>
            </w:r>
          </w:p>
        </w:tc>
        <w:tc>
          <w:tcPr>
            <w:tcW w:w="7194"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both"/>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信息公告指定媒体（以下简称：“指定媒体”）：</w:t>
            </w:r>
          </w:p>
          <w:p>
            <w:pPr>
              <w:keepNext w:val="0"/>
              <w:keepLines w:val="0"/>
              <w:pageBreakBefore w:val="0"/>
              <w:widowControl/>
              <w:kinsoku/>
              <w:wordWrap w:val="0"/>
              <w:overflowPunct/>
              <w:topLinePunct w:val="0"/>
              <w:bidi w:val="0"/>
              <w:spacing w:line="360" w:lineRule="auto"/>
              <w:jc w:val="both"/>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中国政府采购网，网址www.ccgp.gov.cn。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9</w:t>
            </w:r>
          </w:p>
        </w:tc>
        <w:tc>
          <w:tcPr>
            <w:tcW w:w="766"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23.1</w:t>
            </w:r>
          </w:p>
        </w:tc>
        <w:tc>
          <w:tcPr>
            <w:tcW w:w="7194"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本项目监督管理部门：</w:t>
            </w:r>
          </w:p>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lang w:eastAsia="zh-CN"/>
              </w:rPr>
              <w:t>泉州师范学院</w:t>
            </w:r>
            <w:r>
              <w:rPr>
                <w:rFonts w:hint="eastAsia" w:ascii="宋体" w:hAnsi="宋体" w:eastAsia="宋体" w:cs="宋体"/>
                <w:color w:val="auto"/>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766"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24.1</w:t>
            </w:r>
          </w:p>
        </w:tc>
        <w:tc>
          <w:tcPr>
            <w:tcW w:w="7194"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履约保证金：</w:t>
            </w:r>
          </w:p>
          <w:tbl>
            <w:tblPr>
              <w:tblStyle w:val="10"/>
              <w:tblW w:w="6954" w:type="dxa"/>
              <w:tblCellSpacing w:w="0"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1"/>
              <w:gridCol w:w="1391"/>
              <w:gridCol w:w="4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91"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b/>
                      <w:color w:val="auto"/>
                    </w:rPr>
                  </w:pPr>
                  <w:r>
                    <w:rPr>
                      <w:rFonts w:hint="eastAsia" w:ascii="宋体" w:hAnsi="宋体" w:eastAsia="宋体" w:cs="宋体"/>
                      <w:b/>
                      <w:color w:val="auto"/>
                      <w:kern w:val="0"/>
                      <w:sz w:val="24"/>
                      <w:szCs w:val="24"/>
                    </w:rPr>
                    <w:t>包号</w:t>
                  </w:r>
                </w:p>
              </w:tc>
              <w:tc>
                <w:tcPr>
                  <w:tcW w:w="1391"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b/>
                      <w:color w:val="auto"/>
                    </w:rPr>
                  </w:pPr>
                  <w:r>
                    <w:rPr>
                      <w:rFonts w:hint="eastAsia" w:ascii="宋体" w:hAnsi="宋体" w:eastAsia="宋体" w:cs="宋体"/>
                      <w:b/>
                      <w:color w:val="auto"/>
                      <w:kern w:val="0"/>
                      <w:sz w:val="24"/>
                      <w:szCs w:val="24"/>
                    </w:rPr>
                    <w:t>履约保证金比例</w:t>
                  </w:r>
                </w:p>
              </w:tc>
              <w:tc>
                <w:tcPr>
                  <w:tcW w:w="4172"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b/>
                      <w:color w:val="auto"/>
                    </w:rPr>
                  </w:pPr>
                  <w:r>
                    <w:rPr>
                      <w:rFonts w:hint="eastAsia" w:ascii="宋体" w:hAnsi="宋体" w:eastAsia="宋体" w:cs="宋体"/>
                      <w:b/>
                      <w:color w:val="auto"/>
                      <w:kern w:val="0"/>
                      <w:sz w:val="24"/>
                      <w:szCs w:val="24"/>
                    </w:rPr>
                    <w:t>履约保证金说明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91"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color w:val="auto"/>
                    </w:rPr>
                  </w:pPr>
                  <w:r>
                    <w:rPr>
                      <w:rFonts w:hint="eastAsia" w:ascii="宋体" w:hAnsi="宋体" w:eastAsia="宋体" w:cs="宋体"/>
                      <w:color w:val="auto"/>
                      <w:kern w:val="0"/>
                      <w:sz w:val="24"/>
                      <w:szCs w:val="24"/>
                    </w:rPr>
                    <w:t>1</w:t>
                  </w:r>
                </w:p>
              </w:tc>
              <w:tc>
                <w:tcPr>
                  <w:tcW w:w="1391"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color w:val="auto"/>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w:t>
                  </w:r>
                </w:p>
              </w:tc>
              <w:tc>
                <w:tcPr>
                  <w:tcW w:w="4172"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rPr>
                  </w:pPr>
                  <w:r>
                    <w:rPr>
                      <w:rFonts w:ascii="宋体" w:hAnsi="宋体" w:eastAsia="宋体" w:cs="宋体"/>
                      <w:color w:val="auto"/>
                      <w:sz w:val="24"/>
                      <w:szCs w:val="24"/>
                    </w:rPr>
                    <w:t>（1）</w:t>
                  </w:r>
                  <w:r>
                    <w:rPr>
                      <w:rFonts w:hint="eastAsia" w:ascii="宋体" w:hAnsi="宋体" w:eastAsia="宋体" w:cs="宋体"/>
                      <w:color w:val="auto"/>
                      <w:sz w:val="24"/>
                      <w:szCs w:val="24"/>
                    </w:rPr>
                    <w:t>中标供应商在与采购人签订合同前，应向采购人提交按</w:t>
                  </w:r>
                  <w:r>
                    <w:rPr>
                      <w:rFonts w:hint="eastAsia" w:ascii="宋体" w:hAnsi="宋体" w:eastAsia="宋体" w:cs="宋体"/>
                      <w:color w:val="auto"/>
                      <w:sz w:val="24"/>
                      <w:szCs w:val="24"/>
                      <w:lang w:eastAsia="zh-CN"/>
                    </w:rPr>
                    <w:t>合同价</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3</w:t>
                  </w:r>
                  <w:r>
                    <w:rPr>
                      <w:rFonts w:ascii="宋体" w:hAnsi="宋体" w:eastAsia="宋体" w:cs="宋体"/>
                      <w:color w:val="auto"/>
                      <w:sz w:val="24"/>
                      <w:szCs w:val="24"/>
                    </w:rPr>
                    <w:t>%</w:t>
                  </w:r>
                  <w:r>
                    <w:rPr>
                      <w:rFonts w:hint="eastAsia" w:ascii="宋体" w:hAnsi="宋体" w:eastAsia="宋体" w:cs="宋体"/>
                      <w:color w:val="auto"/>
                      <w:sz w:val="24"/>
                      <w:szCs w:val="24"/>
                    </w:rPr>
                    <w:t>计算的履约保证金</w:t>
                  </w:r>
                  <w:r>
                    <w:rPr>
                      <w:rFonts w:hint="eastAsia" w:ascii="宋体" w:hAnsi="宋体" w:eastAsia="宋体" w:cs="宋体"/>
                      <w:color w:val="auto"/>
                      <w:sz w:val="24"/>
                      <w:szCs w:val="24"/>
                      <w:lang w:eastAsia="zh-CN"/>
                    </w:rPr>
                    <w:t>。</w:t>
                  </w:r>
                  <w:r>
                    <w:rPr>
                      <w:rFonts w:ascii="宋体" w:hAnsi="宋体" w:eastAsia="宋体" w:cs="宋体"/>
                      <w:color w:val="auto"/>
                      <w:sz w:val="24"/>
                      <w:szCs w:val="24"/>
                    </w:rPr>
                    <w:t xml:space="preserve"> （2）</w:t>
                  </w:r>
                  <w:r>
                    <w:rPr>
                      <w:rFonts w:hint="eastAsia" w:ascii="宋体" w:hAnsi="宋体" w:eastAsia="宋体" w:cs="宋体"/>
                      <w:color w:val="auto"/>
                      <w:sz w:val="24"/>
                      <w:szCs w:val="24"/>
                    </w:rPr>
                    <w:t>该履约保证金在正式验收合格后，转为质保金，质保金于设备保修期满（以中标人具体承诺期限为准）后且无质量及售后服务问题时一个月内一次性无息退还。</w:t>
                  </w:r>
                </w:p>
              </w:tc>
            </w:tr>
          </w:tbl>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5" w:hRule="atLeast"/>
          <w:tblCellSpacing w:w="15" w:type="dxa"/>
        </w:trPr>
        <w:tc>
          <w:tcPr>
            <w:tcW w:w="526" w:type="dxa"/>
            <w:tcMar>
              <w:top w:w="0" w:type="dxa"/>
              <w:left w:w="105" w:type="dxa"/>
              <w:bottom w:w="0" w:type="dxa"/>
              <w:right w:w="105" w:type="dxa"/>
            </w:tcMar>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11</w:t>
            </w:r>
          </w:p>
        </w:tc>
        <w:tc>
          <w:tcPr>
            <w:tcW w:w="766"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25</w:t>
            </w:r>
          </w:p>
        </w:tc>
        <w:tc>
          <w:tcPr>
            <w:tcW w:w="7194" w:type="dxa"/>
            <w:tcMar>
              <w:top w:w="0" w:type="dxa"/>
              <w:left w:w="105" w:type="dxa"/>
              <w:bottom w:w="0" w:type="dxa"/>
              <w:right w:w="105" w:type="dxa"/>
            </w:tcMar>
            <w:vAlign w:val="center"/>
          </w:tcPr>
          <w:p>
            <w:pPr>
              <w:keepNext w:val="0"/>
              <w:keepLines w:val="0"/>
              <w:pageBreakBefore w:val="0"/>
              <w:widowControl/>
              <w:kinsoku/>
              <w:wordWrap w:val="0"/>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根据采购项目特点或政策需要补充的其他新增内容：</w:t>
            </w:r>
          </w:p>
          <w:p>
            <w:pPr>
              <w:keepNext w:val="0"/>
              <w:keepLines w:val="0"/>
              <w:pageBreakBefore w:val="0"/>
              <w:widowControl/>
              <w:numPr>
                <w:ilvl w:val="0"/>
                <w:numId w:val="1"/>
              </w:numPr>
              <w:kinsoku/>
              <w:wordWrap w:val="0"/>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本项目代理服务费由</w:t>
            </w:r>
            <w:r>
              <w:rPr>
                <w:rFonts w:hint="eastAsia" w:ascii="宋体" w:hAnsi="宋体" w:eastAsia="宋体" w:cs="宋体"/>
                <w:color w:val="auto"/>
                <w:kern w:val="0"/>
                <w:sz w:val="24"/>
                <w:szCs w:val="24"/>
                <w:u w:val="single"/>
              </w:rPr>
              <w:t>成交供应商</w:t>
            </w:r>
            <w:r>
              <w:rPr>
                <w:rFonts w:hint="eastAsia" w:ascii="宋体" w:hAnsi="宋体" w:eastAsia="宋体" w:cs="宋体"/>
                <w:color w:val="auto"/>
                <w:kern w:val="0"/>
                <w:sz w:val="24"/>
                <w:szCs w:val="24"/>
              </w:rPr>
              <w:t>支付。</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(2)其他：1.本项目招标代 理服务费由成交供应商支付，收费标准按照中标（成交）金额，以差额定率累进法计算收取，费率为100万以下按1.</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w:t>
            </w:r>
            <w:r>
              <w:rPr>
                <w:rFonts w:ascii="宋体" w:hAnsi="宋体" w:eastAsia="宋体" w:cs="宋体"/>
                <w:color w:val="auto"/>
                <w:spacing w:val="0"/>
                <w:sz w:val="24"/>
                <w:szCs w:val="24"/>
              </w:rPr>
              <w:t>（如若招标代理服务费不足3000元，则按3000元计取）</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2.其他费用由成交供应商按实支付</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 3.招标代理服务费及专家评审费用缴交账户: 开户行：中国建设银行股份有限公司泉州丰泽支行， 开户名：福建丰盛项目管理有限公司。 账号：35050165600700001403</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竞争性谈判文件补充条款【与竞争性谈判文件其它地方有区别的，以本条为准】：“（1）“ 财务状况报告（财务审计报告、或资信证明、或投标担保函）”的补充说明：鉴于目前开户银行许可证已停止发放，供应商选择提供资信证明的，采购文件中涉及提供开户（基本存款账户）许可证要求的条款修改为“应附上其开户（基本存款账户）许可证复印件或基本开户银行出具的《基本存款账户信息》。（2）法定条件中“信用记录查询”的补充说明：在资格审查当日评审小组通过“信用中国”网站（www.creditchina.gov.cn）、中国政府采购网（www.ccgp.gov.cn）查询并打印供应商信用记录。若发现供应商参加本项目采购活动(投标截止时间止)前三年内被列入失信被执行人名单、重大税收违法案件当事人名单、政府采购严重违法失信行为记录名单，受到政府采购行政处罚（存在被拒绝参与政府采购活动相关信息的），且相关信用惩戒期限未满，以及其他不符合《中华人民共和国政府采购法》第二十二条规定条件的供应商，其资格审查不合格。 取消采购文件中涉及供应商需提供信用记录查询相关文件要求的条款，供应商无需再提供。”</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质疑函递交地点：福建省泉州市丰泽区坪山路255号泉州理工职业学院思恩楼6楼601。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26"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12</w:t>
            </w:r>
          </w:p>
        </w:tc>
        <w:tc>
          <w:tcPr>
            <w:tcW w:w="766"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p>
        </w:tc>
        <w:tc>
          <w:tcPr>
            <w:tcW w:w="7194"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是否组织现场考察或召开开标前答疑会：</w:t>
            </w:r>
            <w:r>
              <w:rPr>
                <w:rFonts w:hint="eastAsia" w:ascii="宋体" w:hAnsi="宋体" w:eastAsia="宋体" w:cs="宋体"/>
                <w:b/>
                <w:bCs/>
                <w:color w:val="auto"/>
                <w:kern w:val="0"/>
                <w:sz w:val="24"/>
                <w:szCs w:val="24"/>
                <w:u w:val="single"/>
              </w:rPr>
              <w:t>否</w:t>
            </w:r>
            <w:r>
              <w:rPr>
                <w:rFonts w:hint="eastAsia" w:ascii="宋体" w:hAnsi="宋体" w:eastAsia="宋体" w:cs="宋体"/>
                <w:color w:val="auto"/>
                <w:kern w:val="0"/>
                <w:sz w:val="24"/>
                <w:szCs w:val="24"/>
              </w:rPr>
              <w:t>。</w:t>
            </w:r>
          </w:p>
        </w:tc>
      </w:tr>
    </w:tbl>
    <w:p>
      <w:pPr>
        <w:keepNext w:val="0"/>
        <w:keepLines w:val="0"/>
        <w:pageBreakBefore w:val="0"/>
        <w:kinsoku/>
        <w:overflowPunct/>
        <w:topLinePunct w:val="0"/>
        <w:bidi w:val="0"/>
        <w:spacing w:line="360" w:lineRule="auto"/>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br w:type="page"/>
      </w:r>
      <w:r>
        <w:rPr>
          <w:rFonts w:hint="eastAsia" w:ascii="宋体" w:hAnsi="宋体" w:eastAsia="宋体" w:cs="宋体"/>
          <w:b/>
          <w:bCs/>
          <w:color w:val="auto"/>
          <w:kern w:val="0"/>
          <w:sz w:val="24"/>
          <w:szCs w:val="24"/>
        </w:rPr>
        <w:t>专项附件：       评定成交的标准和方法</w:t>
      </w:r>
    </w:p>
    <w:p>
      <w:pPr>
        <w:keepNext w:val="0"/>
        <w:keepLines w:val="0"/>
        <w:pageBreakBefore w:val="0"/>
        <w:widowControl/>
        <w:kinsoku/>
        <w:overflowPunct/>
        <w:topLinePunct w:val="0"/>
        <w:bidi w:val="0"/>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keepNext w:val="0"/>
        <w:keepLines w:val="0"/>
        <w:pageBreakBefore w:val="0"/>
        <w:widowControl/>
        <w:kinsoku/>
        <w:overflowPunct/>
        <w:topLinePunct w:val="0"/>
        <w:bidi w:val="0"/>
        <w:spacing w:before="75" w:after="75" w:line="360" w:lineRule="auto"/>
        <w:jc w:val="center"/>
        <w:textAlignment w:val="auto"/>
        <w:outlineLvl w:val="3"/>
        <w:rPr>
          <w:rFonts w:ascii="宋体" w:hAnsi="宋体" w:eastAsia="宋体" w:cs="宋体"/>
          <w:color w:val="auto"/>
          <w:kern w:val="0"/>
          <w:sz w:val="24"/>
          <w:szCs w:val="24"/>
        </w:rPr>
      </w:pPr>
      <w:r>
        <w:rPr>
          <w:rFonts w:hint="eastAsia" w:ascii="宋体" w:hAnsi="宋体" w:eastAsia="宋体" w:cs="宋体"/>
          <w:b/>
          <w:bCs/>
          <w:color w:val="auto"/>
          <w:kern w:val="0"/>
          <w:sz w:val="24"/>
          <w:szCs w:val="24"/>
        </w:rPr>
        <w:t>一、谈判小组</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1.1采购人根据项目的特点依法组建谈判小组。</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1.2谈判小组由采购人代表和评审专家两部分（以下简称“评委”）共</w:t>
      </w:r>
      <w:r>
        <w:rPr>
          <w:rFonts w:hint="eastAsia" w:ascii="宋体" w:hAnsi="宋体" w:eastAsia="宋体" w:cs="宋体"/>
          <w:color w:val="auto"/>
          <w:kern w:val="0"/>
          <w:sz w:val="24"/>
          <w:szCs w:val="24"/>
          <w:u w:val="single"/>
        </w:rPr>
        <w:t>3</w:t>
      </w:r>
      <w:r>
        <w:rPr>
          <w:rFonts w:hint="eastAsia" w:ascii="宋体" w:hAnsi="宋体" w:eastAsia="宋体" w:cs="宋体"/>
          <w:color w:val="auto"/>
          <w:kern w:val="0"/>
          <w:sz w:val="24"/>
          <w:szCs w:val="24"/>
        </w:rPr>
        <w:t>人组成，其中：采购人代表</w:t>
      </w:r>
      <w:r>
        <w:rPr>
          <w:rFonts w:hint="eastAsia" w:ascii="宋体" w:hAnsi="宋体" w:eastAsia="宋体" w:cs="宋体"/>
          <w:color w:val="auto"/>
          <w:kern w:val="0"/>
          <w:sz w:val="24"/>
          <w:szCs w:val="24"/>
          <w:u w:val="single"/>
        </w:rPr>
        <w:t>1</w:t>
      </w:r>
      <w:r>
        <w:rPr>
          <w:rFonts w:hint="eastAsia" w:ascii="宋体" w:hAnsi="宋体" w:eastAsia="宋体" w:cs="宋体"/>
          <w:color w:val="auto"/>
          <w:kern w:val="0"/>
          <w:sz w:val="24"/>
          <w:szCs w:val="24"/>
        </w:rPr>
        <w:t>人由采购人派出，评审专家</w:t>
      </w:r>
      <w:r>
        <w:rPr>
          <w:rFonts w:hint="eastAsia" w:ascii="宋体" w:hAnsi="宋体" w:eastAsia="宋体" w:cs="宋体"/>
          <w:color w:val="auto"/>
          <w:kern w:val="0"/>
          <w:sz w:val="24"/>
          <w:szCs w:val="24"/>
          <w:u w:val="single"/>
        </w:rPr>
        <w:t>2</w:t>
      </w:r>
      <w:r>
        <w:rPr>
          <w:rFonts w:hint="eastAsia" w:ascii="宋体" w:hAnsi="宋体" w:eastAsia="宋体" w:cs="宋体"/>
          <w:color w:val="auto"/>
          <w:kern w:val="0"/>
          <w:sz w:val="24"/>
          <w:szCs w:val="24"/>
        </w:rPr>
        <w:t>人由采购评审专家库产生。达到公开招标数额标准的货物或者服务采购项目，或者达到招标规模标准的政府采购工程，竞争性谈判小组应当由5人或以上单数组成。</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1.3谈判小组负责具体谈判和评审事务，并按照下列原则依法独立履行有关职责：</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1.3.1评审应保护国家利益、社会公共利益和各方当事人合法权益，提高采购效益，保证项目质量。</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1.3.2评审应遵循公平、公正、科学、严谨和择优原则。</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1.3.3评审的依据是谈判文件和响应文件，谈判文件中没有规定的评审标准不得作为评审依据。</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1.3.4谈判小组应按照谈判文件规定推荐成交候选供应商或根据采购人的授权确定成交供应商。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1.3.5评审应遵守下列评审纪律：</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①评审情况不得私自外泄，有关信息由采购人或其委托的代理机构统一对外发布。</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②对采购人或供应商提供的要求保密的资料，不得摘记翻印和外传。</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③不得收受供应商或有关人员的任何礼物，不得串联鼓动其他人袒护某供应商。若与供应商存在利害关系，则应主动声明并回避。</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④全体谈判小组成员应按照谈判文件规定进行评审，一切认定事项应查有实据且不得弄虚作假。</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⑤评审中应充分发扬民主，推荐成交供应商候选人或根据采购人授权确定成交供应商后要服从评审报告。</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※对违反评审纪律的评委，将取消其评委资格，对评审工作造成严重损失者将予以通报批评乃至追究法律责任。</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b/>
          <w:bCs/>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3"/>
        <w:rPr>
          <w:rFonts w:ascii="宋体" w:hAnsi="宋体" w:eastAsia="宋体" w:cs="宋体"/>
          <w:color w:val="auto"/>
          <w:kern w:val="0"/>
          <w:sz w:val="24"/>
          <w:szCs w:val="24"/>
        </w:rPr>
      </w:pPr>
      <w:r>
        <w:rPr>
          <w:rFonts w:hint="eastAsia" w:ascii="宋体" w:hAnsi="宋体" w:eastAsia="宋体" w:cs="宋体"/>
          <w:color w:val="auto"/>
          <w:kern w:val="0"/>
          <w:sz w:val="24"/>
          <w:szCs w:val="24"/>
        </w:rPr>
        <w:t>二、</w:t>
      </w:r>
      <w:r>
        <w:rPr>
          <w:rFonts w:hint="eastAsia" w:ascii="宋体" w:hAnsi="宋体" w:eastAsia="宋体" w:cs="宋体"/>
          <w:b/>
          <w:bCs/>
          <w:color w:val="auto"/>
          <w:kern w:val="0"/>
          <w:sz w:val="24"/>
          <w:szCs w:val="24"/>
        </w:rPr>
        <w:t>谈判程序</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2.1谈判程序按照谈判文件第二章第2节“竞争性谈判须知”第14条“谈判程序以及评定成交的标准”的相关条款规定执行。</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2.3只有资格审查和实质性响应审查均合格且按规定提交最后报价的合格供应商才能参加评定成交的最后价格排序和成交候选人推荐。</w:t>
      </w:r>
    </w:p>
    <w:p>
      <w:pPr>
        <w:keepNext w:val="0"/>
        <w:keepLines w:val="0"/>
        <w:pageBreakBefore w:val="0"/>
        <w:widowControl/>
        <w:kinsoku/>
        <w:overflowPunct/>
        <w:topLinePunct w:val="0"/>
        <w:bidi w:val="0"/>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keepNext w:val="0"/>
        <w:keepLines w:val="0"/>
        <w:pageBreakBefore w:val="0"/>
        <w:widowControl/>
        <w:kinsoku/>
        <w:overflowPunct/>
        <w:topLinePunct w:val="0"/>
        <w:bidi w:val="0"/>
        <w:spacing w:before="75" w:after="75" w:line="360" w:lineRule="auto"/>
        <w:jc w:val="center"/>
        <w:textAlignment w:val="auto"/>
        <w:outlineLvl w:val="3"/>
        <w:rPr>
          <w:rFonts w:ascii="宋体" w:hAnsi="宋体" w:eastAsia="宋体" w:cs="宋体"/>
          <w:color w:val="auto"/>
          <w:kern w:val="0"/>
          <w:sz w:val="24"/>
          <w:szCs w:val="24"/>
        </w:rPr>
      </w:pPr>
      <w:r>
        <w:rPr>
          <w:rFonts w:hint="eastAsia" w:ascii="宋体" w:hAnsi="宋体" w:eastAsia="宋体" w:cs="宋体"/>
          <w:b/>
          <w:bCs/>
          <w:color w:val="auto"/>
          <w:kern w:val="0"/>
          <w:sz w:val="24"/>
          <w:szCs w:val="24"/>
        </w:rPr>
        <w:t>三、最低评审价法和成交候选人推荐</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3.1谈判小组将采用最低评审价法对提交最后报价的合格供应商的响应文件和最后报价进行评审，并推荐成交候选人。如果谈判项目有多个合同包，则按相应合同包分别进行，具体评审的标准和方法如下：</w:t>
      </w:r>
    </w:p>
    <w:p>
      <w:pPr>
        <w:keepNext w:val="0"/>
        <w:keepLines w:val="0"/>
        <w:pageBreakBefore w:val="0"/>
        <w:widowControl/>
        <w:kinsoku/>
        <w:overflowPunct/>
        <w:topLinePunct w:val="0"/>
        <w:bidi w:val="0"/>
        <w:spacing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3.1.1根据财政部及福建省财政厅等有关政府采购文件规定执行价格评审优惠政策，价格扣除规则如下：</w:t>
      </w:r>
    </w:p>
    <w:p>
      <w:pPr>
        <w:keepNext w:val="0"/>
        <w:keepLines w:val="0"/>
        <w:pageBreakBefore w:val="0"/>
        <w:widowControl/>
        <w:kinsoku/>
        <w:overflowPunct/>
        <w:topLinePunct w:val="0"/>
        <w:bidi w:val="0"/>
        <w:spacing w:before="75" w:after="75" w:line="360" w:lineRule="auto"/>
        <w:ind w:firstLine="465"/>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包1:</w:t>
      </w:r>
    </w:p>
    <w:p>
      <w:pPr>
        <w:keepNext w:val="0"/>
        <w:keepLines w:val="0"/>
        <w:pageBreakBefore w:val="0"/>
        <w:widowControl/>
        <w:numPr>
          <w:ilvl w:val="0"/>
          <w:numId w:val="2"/>
        </w:numPr>
        <w:kinsoku/>
        <w:overflowPunct/>
        <w:topLinePunct w:val="0"/>
        <w:bidi w:val="0"/>
        <w:spacing w:before="75" w:after="75" w:line="360" w:lineRule="auto"/>
        <w:ind w:firstLine="465"/>
        <w:jc w:val="left"/>
        <w:textAlignment w:val="auto"/>
        <w:rPr>
          <w:rFonts w:ascii="宋体" w:hAnsi="宋体" w:eastAsia="宋体" w:cs="宋体"/>
          <w:color w:val="auto"/>
          <w:kern w:val="0"/>
          <w:sz w:val="24"/>
          <w:szCs w:val="24"/>
        </w:rPr>
      </w:pPr>
      <w:r>
        <w:rPr>
          <w:rFonts w:ascii="宋体" w:hAnsi="宋体" w:eastAsia="宋体" w:cs="宋体"/>
          <w:color w:val="auto"/>
          <w:kern w:val="0"/>
          <w:sz w:val="24"/>
          <w:szCs w:val="24"/>
        </w:rPr>
        <w:t>1、对小、微企业报价给予 6%（工程项目为 3%）的扣除。 2、联合协议或分包意向协议约定小微企业的合同份额占到合同总金额 30%以上的，对联合体或者大中型企业的报价给予 2%（工程项目为 1%）的扣除。 3、监狱企业视同上述中小企业享受政府采购扶持政策。 4、残疾人福利性单位提供本单位制造的货物、承担的工程或服务，或提供其他残疾人福利性单位制造的货物（不包括使用非残疾人福利性单位注册商标的货物），对报价给予 10%（工程项目为 3%）的扣除</w:t>
      </w:r>
      <w:r>
        <w:rPr>
          <w:rFonts w:hint="eastAsia" w:ascii="宋体" w:hAnsi="宋体" w:eastAsia="宋体" w:cs="宋体"/>
          <w:color w:val="auto"/>
          <w:kern w:val="0"/>
          <w:sz w:val="24"/>
          <w:szCs w:val="24"/>
          <w:lang w:eastAsia="zh-CN"/>
        </w:rPr>
        <w:t>。</w:t>
      </w:r>
    </w:p>
    <w:p>
      <w:pPr>
        <w:keepNext w:val="0"/>
        <w:keepLines w:val="0"/>
        <w:pageBreakBefore w:val="0"/>
        <w:widowControl/>
        <w:numPr>
          <w:ilvl w:val="0"/>
          <w:numId w:val="2"/>
        </w:numPr>
        <w:kinsoku/>
        <w:overflowPunct/>
        <w:topLinePunct w:val="0"/>
        <w:bidi w:val="0"/>
        <w:spacing w:before="75" w:after="75" w:line="360" w:lineRule="auto"/>
        <w:ind w:firstLine="465"/>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优先类节能产品、环境标志产品：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c其他：一、中小企业生产或销售的产品或服务部分的评审优惠:根据财政部、工业和信息化部制定的《关于印发〈政府采购促进中小企业发展管理办法〉的通知》（财库〔2020〕46号）规定，小型、微型企业产品参与投标享受相应优惠，符合中小企业划分标准(根据《工业和信息化部、国家统计局、国家发展和改革委员会、财政部关于印发中小企业划型标准规定的通知》（工信部联企业[2011]300号）规定的划分标准)的企业，还应当同时符合以下条件：（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符合以上条件的须在投标文件中同时提供《中小企业声明函》(见投标文件格式)，否则不予价格扣除。本项目为非专门面向中小企业的项目，对符合本办法规定的小微企业报价给予6%扣除；工程类给予3%扣除。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工程项目为1%）的扣除，用扣除后的价格参加评审。价格扣除比例或者价格分加分比例对小型企业和微型企业同等对待，不作区分。评标委员会审查此项响应性只根据投标文件本身的内容，而不寻求其他的外部证据。根据财政部、工业和信息化部关于发布《政府采购促进中小企业发展管理办法》(财库〔2020〕46号)的规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 二、残疾人福利性单位价格的扣除： 1、根据财政部、民政部、中国残疾人联合会印发的《三部门联合发布关于促进残疾人就业政府采购政策的通知》财库〔2017〕141号和福建省财政厅、 福建省民政厅、 福建省残疾人联合会印发的《关于进一步落实政府采购支持残疾人就业政策的通知》闽财购〔2018〕22号文，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2、符合条件的残疾人福利性单位在参加政府采购活动时，应当提供《三部门联合发布关于促进残疾人就业政府采购政策的通知》规定的《残疾人福利性单位声明函》(见投标文件格式)，并对声明的真实性负责。 3、在政府采购活动中，残疾人福利性单位视同小型、微型企业，对残疾人福利性单位产品价格给予10%的扣除；对残疾人福利性单位与其 他组织组成联合体参与政府采购活动的，残疾人福利性单位的协议合同金额占总合同金额 30%以上的，给予联合体合同金额 3%的价格扣除。残疾人福利性单位属于小微企业的，不重复享受政策(按照扣除比例较高的扣除)。 注：根据《财政部 民政部 中国残疾人联合会关于促进残疾人就业政府采购政策的通知》(财库〔2017〕 141号)的规定，中标供应商为残疾人福利性单位的，采购代理机构将随中标结果同时公告其《残疾人福利性单位声明函》，接受社会监督。供应商提供的《残疾人福利性单位声明函》与事实不符的，将依照《政府采购法》第七十七条第一款的规定被追究法律责任。 (本文件中其他有关对小微企业及其报价扣除描述情况与此处不一致的，以此处为准)。</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3.1.2合格供应商提交的最后报价按照上文3.1.1款规定的价格扣除规则计算后，得出的价格称为最后报价评审价。</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3.1.3谈判小组将从质量和服务均能满足采购文件实质性响应要求的供应商中，按照最后报价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（1）谈判文件可以约定出现并列最低评审价情形时的优先顺序规则，具体规则为：无。</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（2）谈判文件未约定优先顺序规则时，则由谈判小组中的采购人代表从并列最低评审价名单中自行选择确定优先顺序</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（3）采购人代表放弃自行选择确定权利的，则通过随机抽取方式确定优先顺序。</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overflowPunct/>
        <w:topLinePunct w:val="0"/>
        <w:bidi w:val="0"/>
        <w:spacing w:before="75" w:after="75" w:line="360" w:lineRule="auto"/>
        <w:jc w:val="center"/>
        <w:textAlignment w:val="auto"/>
        <w:outlineLvl w:val="3"/>
        <w:rPr>
          <w:rFonts w:ascii="宋体" w:hAnsi="宋体" w:eastAsia="宋体" w:cs="宋体"/>
          <w:color w:val="auto"/>
          <w:kern w:val="0"/>
          <w:sz w:val="24"/>
          <w:szCs w:val="24"/>
        </w:rPr>
      </w:pPr>
      <w:r>
        <w:rPr>
          <w:rFonts w:hint="eastAsia" w:ascii="宋体" w:hAnsi="宋体" w:eastAsia="宋体" w:cs="宋体"/>
          <w:b/>
          <w:bCs/>
          <w:color w:val="auto"/>
          <w:kern w:val="0"/>
          <w:sz w:val="24"/>
          <w:szCs w:val="24"/>
        </w:rPr>
        <w:t>四、评审报告</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4.1谈判小组完成评审后，应当编写评审报告并提交给采购人。</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4.2评审报告应当包括以下主要内容：</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（一）邀请供应商参加采购活动的具体方式和相关情况，以及参加采购活动的供应商名单；</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（二）评审日期和地点，谈判小组成员名单；</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（三）评审情况记录和说明，包括对供应商的资格审查情况、供应商响应文件评审情况、谈判情况、报价情况等；</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（四）提出的成交候选人的名单及理由。</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overflowPunct/>
        <w:topLinePunct w:val="0"/>
        <w:bidi w:val="0"/>
        <w:spacing w:before="75" w:after="75" w:line="360" w:lineRule="auto"/>
        <w:jc w:val="center"/>
        <w:textAlignment w:val="auto"/>
        <w:outlineLvl w:val="3"/>
        <w:rPr>
          <w:rFonts w:ascii="宋体" w:hAnsi="宋体" w:eastAsia="宋体" w:cs="宋体"/>
          <w:b/>
          <w:bCs/>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3"/>
        <w:rPr>
          <w:rFonts w:hint="eastAsia" w:ascii="宋体" w:hAnsi="宋体" w:eastAsia="宋体" w:cs="宋体"/>
          <w:b/>
          <w:bCs/>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3"/>
        <w:rPr>
          <w:rFonts w:hint="eastAsia" w:ascii="宋体" w:hAnsi="宋体" w:eastAsia="宋体" w:cs="宋体"/>
          <w:b/>
          <w:bCs/>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3"/>
        <w:rPr>
          <w:rFonts w:hint="eastAsia" w:ascii="宋体" w:hAnsi="宋体" w:eastAsia="宋体" w:cs="宋体"/>
          <w:b/>
          <w:bCs/>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3"/>
        <w:rPr>
          <w:rFonts w:hint="eastAsia" w:ascii="宋体" w:hAnsi="宋体" w:eastAsia="宋体" w:cs="宋体"/>
          <w:b/>
          <w:bCs/>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3"/>
        <w:rPr>
          <w:rFonts w:hint="eastAsia" w:ascii="宋体" w:hAnsi="宋体" w:eastAsia="宋体" w:cs="宋体"/>
          <w:b/>
          <w:bCs/>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3"/>
        <w:rPr>
          <w:rFonts w:ascii="宋体" w:hAnsi="宋体" w:eastAsia="宋体" w:cs="宋体"/>
          <w:color w:val="auto"/>
          <w:kern w:val="0"/>
          <w:sz w:val="24"/>
          <w:szCs w:val="24"/>
        </w:rPr>
      </w:pPr>
      <w:r>
        <w:rPr>
          <w:rFonts w:hint="eastAsia" w:ascii="宋体" w:hAnsi="宋体" w:eastAsia="宋体" w:cs="宋体"/>
          <w:b/>
          <w:bCs/>
          <w:color w:val="auto"/>
          <w:kern w:val="0"/>
          <w:sz w:val="24"/>
          <w:szCs w:val="24"/>
        </w:rPr>
        <w:t>五、其他规定</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5.1其他规定</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5.1.1评审应全程保密且不得透露给任一供应商或与评审工作无关的人员。</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5.1.2若供应商有任何试图干扰具体评审事务，影响谈判小组独立履行职责的行为，情节严重的，由财政部门列入不良行为记录。</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5.1.4根据采购项目的特点和需要，需要加以详细说明的其他谈判程序规定、要求等内容：</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u w:val="single"/>
        </w:rPr>
        <w:t>无</w:t>
      </w:r>
      <w:r>
        <w:rPr>
          <w:rFonts w:hint="eastAsia" w:ascii="宋体" w:hAnsi="宋体" w:eastAsia="宋体" w:cs="宋体"/>
          <w:color w:val="auto"/>
          <w:kern w:val="0"/>
          <w:sz w:val="24"/>
          <w:szCs w:val="24"/>
        </w:rPr>
        <w:t>。</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b/>
          <w:bCs/>
          <w:color w:val="auto"/>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b/>
          <w:bCs/>
          <w:color w:val="auto"/>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color w:val="auto"/>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color w:val="auto"/>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color w:val="auto"/>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color w:val="auto"/>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color w:val="auto"/>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color w:val="auto"/>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color w:val="auto"/>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color w:val="auto"/>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color w:val="auto"/>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color w:val="auto"/>
          <w:kern w:val="0"/>
          <w:sz w:val="32"/>
          <w:szCs w:val="32"/>
        </w:rPr>
      </w:pP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color w:val="auto"/>
          <w:kern w:val="0"/>
          <w:sz w:val="32"/>
          <w:szCs w:val="32"/>
        </w:rPr>
      </w:pPr>
      <w:r>
        <w:rPr>
          <w:rFonts w:hint="eastAsia" w:ascii="宋体" w:hAnsi="宋体" w:eastAsia="宋体" w:cs="宋体"/>
          <w:b/>
          <w:bCs/>
          <w:color w:val="auto"/>
          <w:kern w:val="0"/>
          <w:sz w:val="32"/>
          <w:szCs w:val="32"/>
        </w:rPr>
        <w:t>第2节  竞争性谈判须知</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color w:val="auto"/>
          <w:kern w:val="0"/>
          <w:sz w:val="24"/>
          <w:szCs w:val="24"/>
        </w:rPr>
      </w:pPr>
      <w:r>
        <w:rPr>
          <w:rFonts w:hint="eastAsia" w:ascii="宋体" w:hAnsi="宋体" w:eastAsia="宋体" w:cs="宋体"/>
          <w:b/>
          <w:bCs/>
          <w:color w:val="auto"/>
          <w:kern w:val="0"/>
          <w:sz w:val="24"/>
          <w:szCs w:val="24"/>
        </w:rPr>
        <w:t>一、总则</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1.适用范围：</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1.1适用于谈判文件载明项目的采购活动（以下简称：“本次采购活动”）。</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2.定义及要求：</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2.1“采购标的”指谈判文件载明的需要采购的货物、服务、工程。</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2.2“采购人”指本次采购项目的买方、或业主方、或采购人，具体见谈判文件第一章；“采购代理机构”系指接受采购人委托，组织开展竞争性谈判采购活动的代理机构，具体见谈判文件第一章。</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2.3“潜在供应商”按照谈判文件第一章规定进行报名，且有意向参加本项目响应谈判的供应商。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2.4“供应商”指按照谈判文件第一章规定进行报名，且已经提交响应文件的法人或其他组织或自然人。只有适合自然人参与和承接的政府采购项目，供应商才可以是自然人。</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2.5“单位负责人”指单位法定代表人（供应商为法人的）或法律、法规规定代表单位行使职权的主要负责人（供应商为其他组织的）。</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2.6“供应商代表”指供应商（为法人或其他组织的）的单位负责人或由其授权的委托代理人，即单位负责人授权书中载明的接受授权方。供应商为自然人的，由本人签字并附身份证明。</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3.合格的供应商：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3.1一般规定</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3.1.1供应商应当遵守中国的有关法律、法规和规章的规定，参加政府采购活动时已经自觉检查并按照政府采购相关法律规定，主动回避相应利害关系。</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3.1.2为采购项目提供整体设计、规范编制或项目管理、监理、检测等服务的供应商，不得再参加该采购项目除整体设计、规范编制和项目管理、监理、检测等服务之外的其他采购活动</w:t>
      </w:r>
      <w:r>
        <w:rPr>
          <w:rFonts w:hint="eastAsia" w:ascii="宋体" w:hAnsi="宋体" w:eastAsia="宋体" w:cs="宋体"/>
          <w:b/>
          <w:bCs/>
          <w:color w:val="auto"/>
          <w:kern w:val="0"/>
          <w:sz w:val="24"/>
          <w:szCs w:val="24"/>
        </w:rPr>
        <w:t>。</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3.1.3列入失信被执行人、重大税收违法案件当事人名单、政府采购严重违法失信行为记录名单及其他不符合《中华人民共和国政府采购法》第二十二条规定条件的供应商，不得参加政府采购活动</w:t>
      </w:r>
      <w:r>
        <w:rPr>
          <w:rFonts w:hint="eastAsia" w:ascii="宋体" w:hAnsi="宋体" w:eastAsia="宋体" w:cs="宋体"/>
          <w:b/>
          <w:bCs/>
          <w:color w:val="auto"/>
          <w:kern w:val="0"/>
          <w:sz w:val="24"/>
          <w:szCs w:val="24"/>
        </w:rPr>
        <w:t>。</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供应商有责任检查自身情况，在响应文件中对是否违反以上一般规定做出如实声明，否则其响应文件将被否决。</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3.2特别规定</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3.2.1供应商的资格要求：详见竞争性谈判须知前附表第1项。</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3.2.2是否接受联合体形式的响应谈判：详见竞争性谈判须知前附表第2项。若接受联合体形式且供应商为联合体，则联合体各方除了应遵守本章第3.1条规定外，还应遵守下列规定：</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（1）联合体各方应提交联合体协议，联合体协议应符合谈判文件规定。</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（2）联合体各方不得再单独参加或与其他供应商另外组成联合体参加同一合同项下的响应谈判。</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（3）联合体各方应共同与采购人签订政府采购合同，就政府采购合同约定的事项对采购人承担连带责任。</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4.参与竞争性谈判费用：</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4.1除法律法规或采购文件另有规定之外，供应商应自行承担其准备与参加竞争性谈判所涉及的一切费用。</w:t>
      </w:r>
    </w:p>
    <w:p>
      <w:pPr>
        <w:keepNext w:val="0"/>
        <w:keepLines w:val="0"/>
        <w:pageBreakBefore w:val="0"/>
        <w:widowControl/>
        <w:kinsoku/>
        <w:overflowPunct/>
        <w:topLinePunct w:val="0"/>
        <w:bidi w:val="0"/>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overflowPunct/>
        <w:topLinePunct w:val="0"/>
        <w:bidi w:val="0"/>
        <w:spacing w:before="75" w:after="75" w:line="360" w:lineRule="auto"/>
        <w:jc w:val="both"/>
        <w:textAlignment w:val="auto"/>
        <w:outlineLvl w:val="1"/>
        <w:rPr>
          <w:rFonts w:ascii="宋体" w:hAnsi="宋体" w:eastAsia="宋体" w:cs="宋体"/>
          <w:b/>
          <w:bCs/>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color w:val="auto"/>
          <w:kern w:val="0"/>
          <w:sz w:val="24"/>
          <w:szCs w:val="24"/>
        </w:rPr>
      </w:pPr>
      <w:r>
        <w:rPr>
          <w:rFonts w:hint="eastAsia" w:ascii="宋体" w:hAnsi="宋体" w:eastAsia="宋体" w:cs="宋体"/>
          <w:b/>
          <w:bCs/>
          <w:color w:val="auto"/>
          <w:kern w:val="0"/>
          <w:sz w:val="24"/>
          <w:szCs w:val="24"/>
        </w:rPr>
        <w:t>二、竞争性谈判文件</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5.竞争性谈判文件的组成：</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5.1竞争性谈判文件由下述部分组成：</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第一章 采购公告（或采购邀请书）</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第二章 竞争性谈判须知</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第三章 采购内容及要求</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第四章 合同主要条款及格式</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第五章 首次响应文件格式</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5.2除上述内容以外，采购人、采购代理机构或者谈判小组在采购过程期间对谈判文件所作的澄清、修改或补充，均构成谈判文件的组成部分，对采购人和供应商具有约束力。</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6.竞争性谈判文件的澄清、补充或修改：</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b/>
          <w:bCs/>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color w:val="auto"/>
          <w:kern w:val="0"/>
          <w:sz w:val="24"/>
          <w:szCs w:val="24"/>
        </w:rPr>
      </w:pPr>
      <w:r>
        <w:rPr>
          <w:rFonts w:hint="eastAsia" w:ascii="宋体" w:hAnsi="宋体" w:eastAsia="宋体" w:cs="宋体"/>
          <w:b/>
          <w:bCs/>
          <w:color w:val="auto"/>
          <w:kern w:val="0"/>
          <w:sz w:val="24"/>
          <w:szCs w:val="24"/>
        </w:rPr>
        <w:t>三、响应文件编制</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7.应标要求</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7.1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Fonts w:hint="eastAsia" w:ascii="宋体" w:hAnsi="宋体" w:eastAsia="宋体" w:cs="宋体"/>
          <w:b/>
          <w:bCs/>
          <w:color w:val="auto"/>
          <w:kern w:val="0"/>
          <w:sz w:val="24"/>
          <w:szCs w:val="24"/>
        </w:rPr>
        <w:t>否则其相应合同包的响应文件将被否决。</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7.2供应商代表在同一个合同项下只能接受一个供应商的委托参加响应谈判，</w:t>
      </w:r>
      <w:r>
        <w:rPr>
          <w:rFonts w:hint="eastAsia" w:ascii="宋体" w:hAnsi="宋体" w:eastAsia="宋体" w:cs="宋体"/>
          <w:b/>
          <w:bCs/>
          <w:color w:val="auto"/>
          <w:kern w:val="0"/>
          <w:sz w:val="24"/>
          <w:szCs w:val="24"/>
        </w:rPr>
        <w:t>否则其响应文件将被否决。</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7.3供应商应仔细阅读谈判文件的所有内容和要求，按谈判文件的规定提供响应文件，并对其所提供的全部资料、承诺和声明的真实性、合法性和准确性负责。</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7.4除非竞争性谈判须知前附表另有规定外，供应商提供的响应文件应使用中文文本，若有不同文字文本，以中文文本为准。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7.6除非竞争性谈判须知前附表另有规定外，供应商承诺的报价应以人民币进行报价，合同实施结算时亦以人民币支付；所有计量均采用中华人民共和国法定计量单位。</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8.首次响应文件的组成：</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8.1首次响应文件包括但不限于下列部分：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（1）谈判响应声明</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（2）报价一览表（含详细报价书）</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（3）资格证明文件</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）技术和商务偏离表</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）相关技术、商务、服务响应承诺及资料</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）供应商提交符合政府采购政策的证明材料</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）要求作为响应文件组成部分的其他内容（若有）</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9.响应文件有效期：</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9.1响应文件有效期见竞争性谈判须知前附表第3项，响应文件承诺的有效期不得少于谈判文件载明的有效期，</w:t>
      </w:r>
      <w:r>
        <w:rPr>
          <w:rFonts w:hint="eastAsia" w:ascii="宋体" w:hAnsi="宋体" w:eastAsia="宋体" w:cs="宋体"/>
          <w:b/>
          <w:bCs/>
          <w:color w:val="auto"/>
          <w:kern w:val="0"/>
          <w:sz w:val="24"/>
          <w:szCs w:val="24"/>
        </w:rPr>
        <w:t>否则其响应文件将被否决。</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9.2特殊情况下采购人可于响应文件有效期满之前要求供应商同意延长有效期，要求与答复均应为书面形式。供应商可以拒绝延长有效期，但其供应商资格将被取消。同意延长有效期的供应商，不需要也不允许修改其响应文件及谈判承诺。</w:t>
      </w:r>
    </w:p>
    <w:p>
      <w:pPr>
        <w:keepNext w:val="0"/>
        <w:keepLines w:val="0"/>
        <w:pageBreakBefore w:val="0"/>
        <w:widowControl/>
        <w:numPr>
          <w:ilvl w:val="0"/>
          <w:numId w:val="3"/>
        </w:numPr>
        <w:kinsoku/>
        <w:overflowPunct/>
        <w:topLinePunct w:val="0"/>
        <w:bidi w:val="0"/>
        <w:spacing w:before="75" w:after="75" w:line="360" w:lineRule="auto"/>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谈判保证金：</w:t>
      </w:r>
    </w:p>
    <w:p>
      <w:pPr>
        <w:pStyle w:val="2"/>
        <w:numPr>
          <w:ilvl w:val="0"/>
          <w:numId w:val="0"/>
        </w:numPr>
        <w:rPr>
          <w:rFonts w:hint="default" w:eastAsia="宋体"/>
          <w:color w:val="auto"/>
          <w:lang w:val="en-US" w:eastAsia="zh-CN"/>
        </w:rPr>
      </w:pPr>
      <w:r>
        <w:rPr>
          <w:rFonts w:hint="eastAsia"/>
          <w:color w:val="auto"/>
          <w:lang w:val="en-US" w:eastAsia="zh-CN"/>
        </w:rPr>
        <w:t xml:space="preserve">    无。</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11.纸质响应文件基本编制要求：</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11.2响应文件应由供应商代表签字并加盖公章。供应商代表如果不是竞争性谈判须知中定义的“单位负责人”，则其响应文件中还必须提供“单位负责人授权书”。</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11.3响应文件应尽量避免涂改、行间插字或删除。如果出现上述情况，改动之处应加盖供应商单位公章或由供应商代表签字确认。</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11.4供应商应提交证明其拟提供货物、服务或工程符合谈判文件要求的技术和商务响应文件，该文件可以是文字资料、图纸和数据，并对拟提供的货物、服务或工程的主要内容进行详细描述。</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12.纸质响应文件的密封、标识、签署和提交</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12.2供应商应当在谈判文件规定的提交响应文件截止时间前，将首次响应文件密封送达谈判文件规定的指定地点。在截止时间后送达的首次响应文件为无效文件，采购人、采购代理机构或者谈判小组将不予接收。</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b/>
          <w:bCs/>
          <w:color w:val="auto"/>
          <w:kern w:val="0"/>
          <w:sz w:val="24"/>
          <w:szCs w:val="24"/>
        </w:rPr>
      </w:pPr>
      <w:r>
        <w:rPr>
          <w:rFonts w:hint="eastAsia" w:ascii="宋体" w:hAnsi="宋体" w:eastAsia="宋体" w:cs="宋体"/>
          <w:color w:val="auto"/>
          <w:kern w:val="0"/>
          <w:sz w:val="24"/>
          <w:szCs w:val="24"/>
        </w:rPr>
        <w:t>  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 </w:t>
      </w: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color w:val="auto"/>
          <w:kern w:val="0"/>
          <w:sz w:val="24"/>
          <w:szCs w:val="24"/>
        </w:rPr>
      </w:pPr>
      <w:r>
        <w:rPr>
          <w:rFonts w:hint="eastAsia" w:ascii="宋体" w:hAnsi="宋体" w:eastAsia="宋体" w:cs="宋体"/>
          <w:b/>
          <w:bCs/>
          <w:color w:val="auto"/>
          <w:kern w:val="0"/>
          <w:sz w:val="24"/>
          <w:szCs w:val="24"/>
        </w:rPr>
        <w:t>四、竞争性谈判</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13.评审和谈判基本准则</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13.1对所有供应商的评审和谈判，都采用相同的程序和标准。</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13.2谈判及评审过程将严格按照谈判文件的要求和条件进行，谈判小组将根据供应商的响应文件，按谈判文件规定的谈判程序和评定成交标准进行评审和谈判，并推荐成交候选人。</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14.谈判程序以及评定成交标准</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14.1采购人将根据项目的特点依法组建谈判小组。谈判小组将根据谈判文件规定的程序、评定成交标准等内容对供应商进行评审、谈判。</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14.2.1供应商有下列情况之一者，其提交的响应文件将被视为未实质性响应谈判文件要求，谈判小组将否决其响应文件，按无效处理：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(1)响应文件中提供的资格证明文件不全的；</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(2)响应文件未按谈判文件规定由供应商代表签字，或未按谈判文件规定加盖供应商单位公章的；或供应商代表未获得有效授权的；</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)响应文件有效期不满足谈判文件要求的；</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)响应内容与谈判采购内容及要求有重大偏离或保留的，限制了采购人的权利或者减少成交供应商合同项下的义务；（由于谈判项目本身特点，不能详细列明采购标的的技术、服务要求的除外）；</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)响应文件中附有采购人无法接受的条件的；</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)不符合谈判文件中规定的其它实质性条款（比如：报价超过了谈判文件规定的最高限价）。</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14.2.2其他情形</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xml:space="preserve">   </w:t>
      </w:r>
      <w:r>
        <w:rPr>
          <w:rFonts w:hint="eastAsia" w:ascii="宋体" w:hAnsi="宋体" w:eastAsia="宋体" w:cs="宋体"/>
          <w:b/>
          <w:bCs/>
          <w:color w:val="auto"/>
          <w:kern w:val="0"/>
          <w:sz w:val="24"/>
          <w:szCs w:val="24"/>
        </w:rPr>
        <w:t>包：1</w:t>
      </w:r>
    </w:p>
    <w:tbl>
      <w:tblPr>
        <w:tblStyle w:val="10"/>
        <w:tblW w:w="8191" w:type="dxa"/>
        <w:tblCellSpacing w:w="0"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8191"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8191" w:type="dxa"/>
            <w:vAlign w:val="center"/>
          </w:tcPr>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1）实质性影响合同的范围、质量和履行；（2）实质性违背谈判文件，限制了采购人的权利和成交人合同项下的义务；（3）不公正地影响了其它作出实质性响应的响应人的竞争地位。对没有实质性响应的投标文件将不进行评估，其投标将被拒绝。下列情况之一者，投标文件无效，作为废标处理： (1) 响应文件未按照谈判文件第二章投标人须知前附表“密封及其标记的具体形式”的规定进行密封、标记的；(2)纸质响应文件未按规定由投标人的法定代表人或其授权代表签字，或未加盖投标人公章的；或签字人未经法定代表人有效授权委托的；(3)未按规定提交投标保证金的；(4)响应有效期不满足采购文件要求的；(5)响应内容与招标内容及要求有重大偏离或保留的；(6)投标人提交的是可选择的报价；(7)投标人未按规定对报价进行分项报价；(8)一个投标人不止投一个标；(9)响应文件组成不符合采购文件要求的；(10)响应文件中提供虚假或失实资料的；(11)不满足采购文件资格标准的；(12)每份纸质响应文件应按规定标注正本或副本并胶装成册，未按要求标注并胶装成册（不可拆卸）的；（13）没有如实填报技术规格和商务偏离表或有弄虚作假行为；（14）投标人的投标报价超过预算价的；（15）不符合响应文件中规定的其它实质性条款。</w:t>
            </w:r>
          </w:p>
        </w:tc>
      </w:tr>
    </w:tbl>
    <w:p>
      <w:pPr>
        <w:keepNext w:val="0"/>
        <w:keepLines w:val="0"/>
        <w:pageBreakBefore w:val="0"/>
        <w:widowControl/>
        <w:kinsoku/>
        <w:overflowPunct/>
        <w:topLinePunct w:val="0"/>
        <w:bidi w:val="0"/>
        <w:spacing w:line="360" w:lineRule="auto"/>
        <w:jc w:val="left"/>
        <w:textAlignment w:val="auto"/>
        <w:rPr>
          <w:rFonts w:ascii="宋体" w:hAnsi="宋体" w:eastAsia="宋体" w:cs="宋体"/>
          <w:color w:val="auto"/>
          <w:kern w:val="0"/>
          <w:sz w:val="24"/>
          <w:szCs w:val="24"/>
        </w:rPr>
      </w:pP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谈判小组决定供应商的响应性只根据响应文件本身的内容，而不寻求其他的外部证据。</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14.10供应商提交的响应文件和资料将给予保密，但不退回（有关证件或证照的原件除外）。</w:t>
      </w: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b/>
          <w:bCs/>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color w:val="auto"/>
          <w:kern w:val="0"/>
          <w:sz w:val="24"/>
          <w:szCs w:val="24"/>
        </w:rPr>
      </w:pPr>
      <w:r>
        <w:rPr>
          <w:rFonts w:hint="eastAsia" w:ascii="宋体" w:hAnsi="宋体" w:eastAsia="宋体" w:cs="宋体"/>
          <w:b/>
          <w:bCs/>
          <w:color w:val="auto"/>
          <w:kern w:val="0"/>
          <w:sz w:val="24"/>
          <w:szCs w:val="24"/>
        </w:rPr>
        <w:t>五、合同授予</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15.授予合同的准则：</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15.1除不可抗力等因素外，合同将授予响应文件符合竞争性谈判文件要求，能够圆满地履行合同，且被谈判小组推</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荐为第一成交候选人的供应商。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15.3为维护国家利益和社会公共利益，最低报价不是被授予合同的绝对保证。</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16.确定成交供应在商：</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16.1采购人委托代理机构组织竞争性谈判采购活动的，采购代理机构在评审结束后2个工作日内将评审报告送采购人确认。</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17.成交通知:</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18.签订合同：</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18.1采购人与成交供应商应当在成交通知书发出之日起30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18.2竞争性谈判文件、成交供应商的响应文件及其有关澄清承诺文件等，均为签订政府采购合同的依据和组成部分。</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b/>
          <w:bCs/>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color w:val="auto"/>
          <w:kern w:val="0"/>
          <w:sz w:val="24"/>
          <w:szCs w:val="24"/>
        </w:rPr>
      </w:pPr>
      <w:r>
        <w:rPr>
          <w:rFonts w:hint="eastAsia" w:ascii="宋体" w:hAnsi="宋体" w:eastAsia="宋体" w:cs="宋体"/>
          <w:b/>
          <w:bCs/>
          <w:color w:val="auto"/>
          <w:kern w:val="0"/>
          <w:sz w:val="24"/>
          <w:szCs w:val="24"/>
        </w:rPr>
        <w:t>六、询问、质疑与投诉</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r>
        <w:rPr>
          <w:rFonts w:hint="eastAsia" w:ascii="宋体" w:hAnsi="宋体" w:eastAsia="宋体" w:cs="宋体"/>
          <w:b/>
          <w:bCs/>
          <w:color w:val="auto"/>
          <w:kern w:val="0"/>
          <w:sz w:val="24"/>
          <w:szCs w:val="24"/>
        </w:rPr>
        <w:t>19.询问</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19.1潜在供应商或供应商对本次采购活动的有关事项若有疑问，可向采购人或采购代理机构提出询问，采购人或采购代理机构将按照政府采购法及实施条例的有关规定进行答复。</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20.质疑</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20.1质疑应在政府采购法及实施条例规定的时效内提出，并符合下列条件：</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20.1.2质疑人应提交质疑函原件。</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20.1.3质疑函应包括下列主要内容：</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②所质疑项目的基本信息，至少包括：项目编号、项目名称等；</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③所质疑的具体事项（以下简称：“质疑事项”）；</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④质疑人自身权益受到损害的事实依据和证明材料，至少包括：</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a1所质疑的具体事项事实存在的证明材料；</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a2所质疑的具体事项事实导致质疑人自身权益受到损害的证明材料，如：采购文件、采购过程或成交结果违法违规，损害自已合法权益等证明材料；</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⑤针对质疑事项提出的明确请求和法律依据，</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⑥提出质疑的日期以及质疑人代表联系方式，至少包括：姓名、手机、电子信箱、邮寄地址等。</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20.2对不符合前文第20.1条规定的质疑，采购人或采购代理机构将按照下列规定进行处理：</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20.2.1超过质疑时效提交的或者质疑人不是直接参与所质疑项目采购活动的供应商，书面告知质疑人其质疑不成立的原因和理由。</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keepNext w:val="0"/>
        <w:keepLines w:val="0"/>
        <w:pageBreakBefore w:val="0"/>
        <w:widowControl/>
        <w:kinsoku/>
        <w:overflowPunct/>
        <w:topLinePunct w:val="0"/>
        <w:bidi w:val="0"/>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20.2.3质疑人修改、补充质疑函超过质疑时效提交的按20.2.1款处理。供应商提交质疑函时，要认真阅读本章第20条关于质疑的相关规定，以免内容或资料不齐，需要修改补充而延误时间。</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20.3对符合前文第20.1条规定的质疑，采购人或采购代理机构将按照政府采购法及实施条例的有关规定进行答复。</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21.投诉</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21.1若对质疑答复不满意或质疑答复未在答复期限内作出，质疑人可在答复期限届满之日起15个工作日内向谈判文件中载明的监督管理部门投诉。</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21.1投诉应有明确的请求和必要的证明材料，投诉的事项不得超出已质疑事项的范围。</w:t>
      </w: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b/>
          <w:bCs/>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color w:val="auto"/>
          <w:kern w:val="0"/>
          <w:sz w:val="24"/>
          <w:szCs w:val="24"/>
        </w:rPr>
      </w:pPr>
      <w:r>
        <w:rPr>
          <w:rFonts w:hint="eastAsia" w:ascii="宋体" w:hAnsi="宋体" w:eastAsia="宋体" w:cs="宋体"/>
          <w:b/>
          <w:bCs/>
          <w:color w:val="auto"/>
          <w:kern w:val="0"/>
          <w:sz w:val="24"/>
          <w:szCs w:val="24"/>
        </w:rPr>
        <w:t>七、有关信息公告和监督部门</w:t>
      </w:r>
    </w:p>
    <w:p>
      <w:pPr>
        <w:keepNext w:val="0"/>
        <w:keepLines w:val="0"/>
        <w:pageBreakBefore w:val="0"/>
        <w:widowControl/>
        <w:kinsoku/>
        <w:overflowPunct/>
        <w:topLinePunct w:val="0"/>
        <w:bidi w:val="0"/>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22.政府采购信息公告媒体</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22.2信息公告指定媒体：详见竞争性谈判须知前附表第8项。</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23.监督管理部门</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23.1谈判采购活动的监督管理部门详见竞争性谈判须知前附表第9项。</w:t>
      </w:r>
    </w:p>
    <w:p>
      <w:pPr>
        <w:keepNext w:val="0"/>
        <w:keepLines w:val="0"/>
        <w:pageBreakBefore w:val="0"/>
        <w:widowControl/>
        <w:kinsoku/>
        <w:overflowPunct/>
        <w:topLinePunct w:val="0"/>
        <w:bidi w:val="0"/>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keepNext w:val="0"/>
        <w:keepLines w:val="0"/>
        <w:pageBreakBefore w:val="0"/>
        <w:widowControl/>
        <w:kinsoku/>
        <w:overflowPunct/>
        <w:topLinePunct w:val="0"/>
        <w:bidi w:val="0"/>
        <w:spacing w:before="75" w:after="75" w:line="360" w:lineRule="auto"/>
        <w:jc w:val="both"/>
        <w:textAlignment w:val="auto"/>
        <w:outlineLvl w:val="1"/>
        <w:rPr>
          <w:rFonts w:hint="eastAsia" w:ascii="宋体" w:hAnsi="宋体" w:eastAsia="宋体" w:cs="宋体"/>
          <w:b/>
          <w:bCs/>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hint="eastAsia" w:ascii="宋体" w:hAnsi="宋体" w:eastAsia="宋体" w:cs="宋体"/>
          <w:b/>
          <w:bCs/>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outlineLvl w:val="1"/>
        <w:rPr>
          <w:rFonts w:ascii="宋体" w:hAnsi="宋体" w:eastAsia="宋体" w:cs="宋体"/>
          <w:color w:val="auto"/>
          <w:kern w:val="0"/>
          <w:sz w:val="24"/>
          <w:szCs w:val="24"/>
        </w:rPr>
      </w:pPr>
      <w:r>
        <w:rPr>
          <w:rFonts w:hint="eastAsia" w:ascii="宋体" w:hAnsi="宋体" w:eastAsia="宋体" w:cs="宋体"/>
          <w:b/>
          <w:bCs/>
          <w:color w:val="auto"/>
          <w:kern w:val="0"/>
          <w:sz w:val="24"/>
          <w:szCs w:val="24"/>
        </w:rPr>
        <w:t>八、根据采购项目特点或政策需要补充的其他内容</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24.履约保证金</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24.1采购人可以根据项目特点和需要，确定是否要求成交供应商在合同签订前，按照谈判文件规定的时间、形式、金额提交履约保证金，履约保证金的数额不超过中标合同金额的10%，具体详见竞争性谈判须知前附表第10项规定。</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24.2谈判文件要求在合同签订前提交履约保证金，如果成交供应商无故拖延或者拒不提交履约保证金的，则视为成交供应商拒绝与采购人签订合同，该成交供应商将承担违法行为的法律责任。</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25.其他新增内容：</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根据采购项目特点或政策需要补充的其他新增内容详见竞争性谈判须知前附表第11项。</w:t>
      </w:r>
    </w:p>
    <w:p>
      <w:pPr>
        <w:keepNext w:val="0"/>
        <w:keepLines w:val="0"/>
        <w:pageBreakBefore w:val="0"/>
        <w:kinsoku/>
        <w:overflowPunct/>
        <w:topLinePunct w:val="0"/>
        <w:bidi w:val="0"/>
        <w:spacing w:line="360" w:lineRule="auto"/>
        <w:jc w:val="both"/>
        <w:textAlignment w:val="auto"/>
        <w:rPr>
          <w:rFonts w:hint="eastAsia" w:ascii="宋体" w:hAnsi="宋体" w:eastAsia="宋体" w:cs="宋体"/>
          <w:b/>
          <w:bCs/>
          <w:color w:val="auto"/>
          <w:kern w:val="0"/>
          <w:sz w:val="32"/>
          <w:szCs w:val="32"/>
        </w:rPr>
      </w:pPr>
    </w:p>
    <w:p>
      <w:pPr>
        <w:keepNext w:val="0"/>
        <w:keepLines w:val="0"/>
        <w:pageBreakBefore w:val="0"/>
        <w:kinsoku/>
        <w:overflowPunct/>
        <w:topLinePunct w:val="0"/>
        <w:bidi w:val="0"/>
        <w:spacing w:line="360" w:lineRule="auto"/>
        <w:jc w:val="center"/>
        <w:textAlignment w:val="auto"/>
        <w:rPr>
          <w:rFonts w:ascii="宋体" w:hAnsi="宋体" w:eastAsia="宋体" w:cs="宋体"/>
          <w:b/>
          <w:bCs/>
          <w:color w:val="auto"/>
          <w:kern w:val="0"/>
          <w:sz w:val="32"/>
          <w:szCs w:val="32"/>
        </w:rPr>
      </w:pPr>
      <w:r>
        <w:rPr>
          <w:rFonts w:hint="eastAsia" w:ascii="宋体" w:hAnsi="宋体" w:eastAsia="宋体" w:cs="宋体"/>
          <w:b/>
          <w:bCs/>
          <w:color w:val="auto"/>
          <w:kern w:val="0"/>
          <w:sz w:val="32"/>
          <w:szCs w:val="32"/>
        </w:rPr>
        <w:t>第三章  采购内容及要求</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numPr>
          <w:ilvl w:val="0"/>
          <w:numId w:val="4"/>
        </w:numPr>
        <w:kinsoku/>
        <w:overflowPunct/>
        <w:topLinePunct w:val="0"/>
        <w:bidi w:val="0"/>
        <w:spacing w:before="75" w:after="75" w:line="360" w:lineRule="auto"/>
        <w:jc w:val="left"/>
        <w:textAlignment w:val="auto"/>
        <w:outlineLvl w:val="1"/>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项目概况</w:t>
      </w:r>
    </w:p>
    <w:p>
      <w:pPr>
        <w:keepNext w:val="0"/>
        <w:keepLines w:val="0"/>
        <w:pageBreakBefore w:val="0"/>
        <w:numPr>
          <w:ilvl w:val="0"/>
          <w:numId w:val="0"/>
        </w:numPr>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泉州师范学院主校区青年教师公寓，目前水电收费模式采用人工抄计方式，其存在的弊端已不能满足现有管理需求。随着高校信息化建设的迅速发展，省内部分高校已实现了公寓水电智能化管理，现拟将青年</w:t>
      </w:r>
      <w:r>
        <w:rPr>
          <w:rFonts w:hint="eastAsia" w:ascii="宋体" w:hAnsi="宋体" w:eastAsia="宋体" w:cs="宋体"/>
          <w:b w:val="0"/>
          <w:bCs/>
          <w:color w:val="auto"/>
          <w:kern w:val="0"/>
          <w:sz w:val="24"/>
          <w:szCs w:val="24"/>
          <w:lang w:eastAsia="zh-CN"/>
        </w:rPr>
        <w:t>教师</w:t>
      </w:r>
      <w:r>
        <w:rPr>
          <w:rFonts w:hint="eastAsia" w:ascii="宋体" w:hAnsi="宋体" w:eastAsia="宋体" w:cs="宋体"/>
          <w:b w:val="0"/>
          <w:bCs/>
          <w:color w:val="auto"/>
          <w:kern w:val="0"/>
          <w:sz w:val="24"/>
          <w:szCs w:val="24"/>
        </w:rPr>
        <w:t>公寓原有机械水、电表进行改造，以实现智能管理。</w:t>
      </w:r>
    </w:p>
    <w:p>
      <w:pPr>
        <w:keepNext w:val="0"/>
        <w:keepLines w:val="0"/>
        <w:pageBreakBefore w:val="0"/>
        <w:numPr>
          <w:ilvl w:val="0"/>
          <w:numId w:val="0"/>
        </w:numPr>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rPr>
        <w:t>改造后智能水电管理系统需实现：</w:t>
      </w:r>
    </w:p>
    <w:p>
      <w:pPr>
        <w:keepNext w:val="0"/>
        <w:keepLines w:val="0"/>
        <w:pageBreakBefore w:val="0"/>
        <w:numPr>
          <w:ilvl w:val="0"/>
          <w:numId w:val="0"/>
        </w:numPr>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eastAsia="zh-CN"/>
        </w:rPr>
        <w:t>（一）</w:t>
      </w:r>
      <w:r>
        <w:rPr>
          <w:rFonts w:hint="eastAsia" w:ascii="宋体" w:hAnsi="宋体" w:eastAsia="宋体" w:cs="宋体"/>
          <w:b w:val="0"/>
          <w:bCs/>
          <w:color w:val="auto"/>
          <w:kern w:val="0"/>
          <w:sz w:val="24"/>
          <w:szCs w:val="24"/>
        </w:rPr>
        <w:t>采用自动实时抄表，自动结算（预收费），减少了日常人为工作的繁琐与弊端。</w:t>
      </w:r>
    </w:p>
    <w:p>
      <w:pPr>
        <w:keepNext w:val="0"/>
        <w:keepLines w:val="0"/>
        <w:pageBreakBefore w:val="0"/>
        <w:numPr>
          <w:ilvl w:val="0"/>
          <w:numId w:val="0"/>
        </w:numPr>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eastAsia="zh-CN"/>
        </w:rPr>
        <w:t>（二）</w:t>
      </w:r>
      <w:r>
        <w:rPr>
          <w:rFonts w:hint="eastAsia" w:ascii="宋体" w:hAnsi="宋体" w:eastAsia="宋体" w:cs="宋体"/>
          <w:b w:val="0"/>
          <w:bCs/>
          <w:color w:val="auto"/>
          <w:kern w:val="0"/>
          <w:sz w:val="24"/>
          <w:szCs w:val="24"/>
        </w:rPr>
        <w:t>根据实际情况设定相应的负载功率，避免高功率电器超负荷带来的安全隐患。</w:t>
      </w:r>
    </w:p>
    <w:p>
      <w:pPr>
        <w:keepNext w:val="0"/>
        <w:keepLines w:val="0"/>
        <w:pageBreakBefore w:val="0"/>
        <w:numPr>
          <w:ilvl w:val="0"/>
          <w:numId w:val="0"/>
        </w:numPr>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eastAsia="zh-CN"/>
        </w:rPr>
        <w:t>（三）</w:t>
      </w:r>
      <w:r>
        <w:rPr>
          <w:rFonts w:hint="eastAsia" w:ascii="宋体" w:hAnsi="宋体" w:eastAsia="宋体" w:cs="宋体"/>
          <w:b w:val="0"/>
          <w:bCs/>
          <w:color w:val="auto"/>
          <w:kern w:val="0"/>
          <w:sz w:val="24"/>
          <w:szCs w:val="24"/>
        </w:rPr>
        <w:t>学生每月水电额度使用，实现批量导入，减少人工统计工作量。</w:t>
      </w:r>
    </w:p>
    <w:p>
      <w:pPr>
        <w:keepNext w:val="0"/>
        <w:keepLines w:val="0"/>
        <w:pageBreakBefore w:val="0"/>
        <w:numPr>
          <w:ilvl w:val="0"/>
          <w:numId w:val="0"/>
        </w:numPr>
        <w:kinsoku/>
        <w:overflowPunct/>
        <w:topLinePunct w:val="0"/>
        <w:bidi w:val="0"/>
        <w:adjustRightInd w:val="0"/>
        <w:snapToGrid w:val="0"/>
        <w:spacing w:line="360" w:lineRule="auto"/>
        <w:ind w:firstLine="480" w:firstLineChars="200"/>
        <w:textAlignment w:val="auto"/>
        <w:outlineLvl w:val="1"/>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eastAsia="zh-CN"/>
        </w:rPr>
        <w:t>（四）</w:t>
      </w:r>
      <w:r>
        <w:rPr>
          <w:rFonts w:hint="eastAsia" w:ascii="宋体" w:hAnsi="宋体" w:eastAsia="宋体" w:cs="宋体"/>
          <w:b w:val="0"/>
          <w:bCs/>
          <w:color w:val="auto"/>
          <w:kern w:val="0"/>
          <w:sz w:val="24"/>
          <w:szCs w:val="24"/>
        </w:rPr>
        <w:t>师生通过线下线上相应的支付系统（校园一卡通完美校园）等渠道完成信息查询、充值缴费等，实现24小时无值守不间断服务，可大大提高服务效率。</w:t>
      </w:r>
    </w:p>
    <w:p>
      <w:pPr>
        <w:keepNext w:val="0"/>
        <w:keepLines w:val="0"/>
        <w:pageBreakBefore w:val="0"/>
        <w:numPr>
          <w:ilvl w:val="0"/>
          <w:numId w:val="0"/>
        </w:numPr>
        <w:kinsoku/>
        <w:overflowPunct/>
        <w:topLinePunct w:val="0"/>
        <w:bidi w:val="0"/>
        <w:adjustRightInd w:val="0"/>
        <w:snapToGrid w:val="0"/>
        <w:spacing w:line="360" w:lineRule="auto"/>
        <w:textAlignment w:val="auto"/>
        <w:outlineLvl w:val="1"/>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eastAsia="zh-CN"/>
        </w:rPr>
        <w:t>二、</w:t>
      </w:r>
      <w:r>
        <w:rPr>
          <w:rFonts w:hint="eastAsia" w:ascii="宋体" w:hAnsi="宋体" w:eastAsia="宋体" w:cs="宋体"/>
          <w:b/>
          <w:color w:val="auto"/>
          <w:kern w:val="0"/>
          <w:sz w:val="24"/>
          <w:szCs w:val="24"/>
        </w:rPr>
        <w:t>技术和服务要求</w:t>
      </w:r>
    </w:p>
    <w:p>
      <w:pPr>
        <w:pStyle w:val="2"/>
        <w:keepNext w:val="0"/>
        <w:keepLines w:val="0"/>
        <w:pageBreakBefore w:val="0"/>
        <w:kinsoku/>
        <w:overflowPunct/>
        <w:topLinePunct w:val="0"/>
        <w:bidi w:val="0"/>
        <w:spacing w:line="360" w:lineRule="auto"/>
        <w:ind w:firstLine="480" w:firstLineChars="200"/>
        <w:textAlignment w:val="auto"/>
        <w:rPr>
          <w:rFonts w:hint="eastAsia"/>
          <w:color w:val="auto"/>
        </w:rPr>
      </w:pPr>
      <w:r>
        <w:rPr>
          <w:rFonts w:hint="eastAsia"/>
          <w:color w:val="auto"/>
        </w:rPr>
        <w:t>此次建设的预付费智能电控管理子系统、预付费智能远传冷水表管理子系统需无缝对接学校</w:t>
      </w:r>
      <w:r>
        <w:rPr>
          <w:rFonts w:hint="eastAsia"/>
          <w:color w:val="auto"/>
          <w:lang w:eastAsia="zh-CN"/>
        </w:rPr>
        <w:t>现</w:t>
      </w:r>
      <w:r>
        <w:rPr>
          <w:rFonts w:hint="eastAsia"/>
          <w:color w:val="auto"/>
        </w:rPr>
        <w:t>有校园一卡通平台，要求所有的刷卡和</w:t>
      </w:r>
      <w:r>
        <w:rPr>
          <w:rFonts w:hint="eastAsia"/>
          <w:color w:val="auto"/>
          <w:lang w:eastAsia="zh-CN"/>
        </w:rPr>
        <w:t>线上充值</w:t>
      </w:r>
      <w:r>
        <w:rPr>
          <w:rFonts w:hint="eastAsia"/>
          <w:color w:val="auto"/>
        </w:rPr>
        <w:t>数据上传至校园一卡通平台。学生持</w:t>
      </w:r>
      <w:r>
        <w:rPr>
          <w:rFonts w:hint="eastAsia"/>
          <w:color w:val="auto"/>
          <w:lang w:eastAsia="zh-CN"/>
        </w:rPr>
        <w:t>现有</w:t>
      </w:r>
      <w:r>
        <w:rPr>
          <w:rFonts w:hint="eastAsia"/>
          <w:color w:val="auto"/>
        </w:rPr>
        <w:t>校园卡可直接在此系统上使用，所有刷卡的消费数据上传至校园一卡通平台进行统一管理，统一结算。若成交后无法达到以上要求，采购人有权要求退货，且还应赔偿采购人因此造成的一切损失。投标人必须对此做出书面承诺并加盖公章，否则视为投标无效。</w:t>
      </w:r>
    </w:p>
    <w:p>
      <w:pPr>
        <w:pStyle w:val="2"/>
        <w:keepNext w:val="0"/>
        <w:keepLines w:val="0"/>
        <w:pageBreakBefore w:val="0"/>
        <w:kinsoku/>
        <w:overflowPunct/>
        <w:topLinePunct w:val="0"/>
        <w:bidi w:val="0"/>
        <w:spacing w:line="360" w:lineRule="auto"/>
        <w:ind w:firstLine="480" w:firstLineChars="200"/>
        <w:textAlignment w:val="auto"/>
        <w:rPr>
          <w:rFonts w:hint="eastAsia"/>
          <w:color w:val="auto"/>
        </w:rPr>
      </w:pPr>
      <w:r>
        <w:rPr>
          <w:rFonts w:hint="eastAsia"/>
          <w:color w:val="auto"/>
        </w:rPr>
        <w:t>投标人在投标文件中须提供与一卡通系统原厂商签订的《一卡通技术开发保密协议》，以确保可以使用原厂技术保密资料，满足本系统建设需求，否则视为未实质性响应招标要求，为投标无效。</w:t>
      </w:r>
    </w:p>
    <w:p>
      <w:pPr>
        <w:pStyle w:val="2"/>
        <w:keepNext w:val="0"/>
        <w:keepLines w:val="0"/>
        <w:pageBreakBefore w:val="0"/>
        <w:kinsoku/>
        <w:overflowPunct/>
        <w:topLinePunct w:val="0"/>
        <w:bidi w:val="0"/>
        <w:spacing w:line="360" w:lineRule="auto"/>
        <w:textAlignment w:val="auto"/>
        <w:rPr>
          <w:rFonts w:hint="eastAsia"/>
          <w:color w:val="auto"/>
        </w:rPr>
      </w:pPr>
    </w:p>
    <w:p>
      <w:pPr>
        <w:pStyle w:val="2"/>
        <w:keepNext w:val="0"/>
        <w:keepLines w:val="0"/>
        <w:pageBreakBefore w:val="0"/>
        <w:kinsoku/>
        <w:overflowPunct/>
        <w:topLinePunct w:val="0"/>
        <w:bidi w:val="0"/>
        <w:spacing w:line="360" w:lineRule="auto"/>
        <w:textAlignment w:val="auto"/>
        <w:rPr>
          <w:rFonts w:hint="eastAsia"/>
          <w:color w:val="auto"/>
        </w:rPr>
      </w:pPr>
    </w:p>
    <w:p>
      <w:pPr>
        <w:pStyle w:val="2"/>
        <w:keepNext w:val="0"/>
        <w:keepLines w:val="0"/>
        <w:pageBreakBefore w:val="0"/>
        <w:kinsoku/>
        <w:overflowPunct/>
        <w:topLinePunct w:val="0"/>
        <w:bidi w:val="0"/>
        <w:spacing w:line="360" w:lineRule="auto"/>
        <w:textAlignment w:val="auto"/>
        <w:rPr>
          <w:rFonts w:hint="eastAsia"/>
          <w:color w:val="auto"/>
        </w:rPr>
      </w:pPr>
    </w:p>
    <w:p>
      <w:pPr>
        <w:pStyle w:val="2"/>
        <w:keepNext w:val="0"/>
        <w:keepLines w:val="0"/>
        <w:pageBreakBefore w:val="0"/>
        <w:kinsoku/>
        <w:overflowPunct/>
        <w:topLinePunct w:val="0"/>
        <w:bidi w:val="0"/>
        <w:spacing w:line="360" w:lineRule="auto"/>
        <w:textAlignment w:val="auto"/>
        <w:rPr>
          <w:rFonts w:hint="eastAsia" w:ascii="宋体" w:hAnsi="宋体" w:cs="宋体"/>
          <w:b w:val="0"/>
          <w:bCs/>
          <w:color w:val="auto"/>
          <w:kern w:val="0"/>
          <w:sz w:val="24"/>
          <w:szCs w:val="24"/>
          <w:lang w:val="en-US" w:eastAsia="zh-CN"/>
        </w:rPr>
      </w:pPr>
      <w:r>
        <w:rPr>
          <w:rFonts w:hint="eastAsia" w:ascii="宋体" w:hAnsi="宋体" w:cs="宋体"/>
          <w:b w:val="0"/>
          <w:bCs/>
          <w:color w:val="auto"/>
          <w:kern w:val="0"/>
          <w:sz w:val="24"/>
          <w:szCs w:val="24"/>
          <w:lang w:eastAsia="zh-CN"/>
        </w:rPr>
        <w:t>（</w:t>
      </w:r>
      <w:r>
        <w:rPr>
          <w:rFonts w:hint="eastAsia" w:ascii="宋体" w:hAnsi="宋体" w:cs="宋体"/>
          <w:b w:val="0"/>
          <w:bCs/>
          <w:color w:val="auto"/>
          <w:kern w:val="0"/>
          <w:sz w:val="24"/>
          <w:szCs w:val="24"/>
          <w:lang w:val="en-US" w:eastAsia="zh-CN"/>
        </w:rPr>
        <w:t>一</w:t>
      </w:r>
      <w:r>
        <w:rPr>
          <w:rFonts w:hint="eastAsia" w:ascii="宋体" w:hAnsi="宋体" w:cs="宋体"/>
          <w:b w:val="0"/>
          <w:bCs/>
          <w:color w:val="auto"/>
          <w:kern w:val="0"/>
          <w:sz w:val="24"/>
          <w:szCs w:val="24"/>
          <w:lang w:eastAsia="zh-CN"/>
        </w:rPr>
        <w:t>）</w:t>
      </w:r>
      <w:r>
        <w:rPr>
          <w:rFonts w:hint="eastAsia" w:ascii="宋体" w:hAnsi="宋体" w:cs="宋体"/>
          <w:b w:val="0"/>
          <w:bCs/>
          <w:color w:val="auto"/>
          <w:kern w:val="0"/>
          <w:sz w:val="24"/>
          <w:szCs w:val="24"/>
          <w:lang w:val="en-US" w:eastAsia="zh-CN"/>
        </w:rPr>
        <w:t>技术要求</w:t>
      </w:r>
    </w:p>
    <w:p>
      <w:pPr>
        <w:pStyle w:val="2"/>
        <w:keepNext w:val="0"/>
        <w:keepLines w:val="0"/>
        <w:pageBreakBefore w:val="0"/>
        <w:kinsoku/>
        <w:overflowPunct/>
        <w:topLinePunct w:val="0"/>
        <w:bidi w:val="0"/>
        <w:spacing w:line="360" w:lineRule="auto"/>
        <w:textAlignment w:val="auto"/>
        <w:rPr>
          <w:rFonts w:hint="default" w:ascii="宋体" w:hAnsi="宋体" w:cs="宋体"/>
          <w:b/>
          <w:color w:val="auto"/>
          <w:kern w:val="0"/>
          <w:sz w:val="24"/>
          <w:szCs w:val="24"/>
          <w:lang w:val="en-US" w:eastAsia="zh-CN"/>
        </w:rPr>
      </w:pPr>
    </w:p>
    <w:tbl>
      <w:tblPr>
        <w:tblStyle w:val="11"/>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812"/>
        <w:gridCol w:w="4638"/>
        <w:gridCol w:w="750"/>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vertAlign w:val="baseline"/>
                <w:lang w:eastAsia="zh-CN"/>
              </w:rPr>
              <w:t>序号</w:t>
            </w:r>
          </w:p>
        </w:tc>
        <w:tc>
          <w:tcPr>
            <w:tcW w:w="1812"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vertAlign w:val="baseline"/>
                <w:lang w:eastAsia="zh-CN"/>
              </w:rPr>
              <w:t>名称</w:t>
            </w:r>
          </w:p>
        </w:tc>
        <w:tc>
          <w:tcPr>
            <w:tcW w:w="4638"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vertAlign w:val="baseline"/>
                <w:lang w:eastAsia="zh-CN"/>
              </w:rPr>
              <w:t>参数要求</w:t>
            </w:r>
          </w:p>
        </w:tc>
        <w:tc>
          <w:tcPr>
            <w:tcW w:w="750"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vertAlign w:val="baseline"/>
                <w:lang w:eastAsia="zh-CN"/>
              </w:rPr>
              <w:t>单位</w:t>
            </w:r>
          </w:p>
        </w:tc>
        <w:tc>
          <w:tcPr>
            <w:tcW w:w="716"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b w:val="0"/>
                <w:bCs w:val="0"/>
                <w:color w:val="auto"/>
                <w:sz w:val="24"/>
                <w:szCs w:val="24"/>
                <w:vertAlign w:val="baseline"/>
                <w:lang w:eastAsia="zh-CN"/>
              </w:rPr>
            </w:pPr>
            <w:r>
              <w:rPr>
                <w:rFonts w:hint="eastAsia" w:ascii="宋体" w:hAnsi="宋体" w:eastAsia="宋体" w:cs="宋体"/>
                <w:b w:val="0"/>
                <w:bCs w:val="0"/>
                <w:color w:val="auto"/>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w:t>
            </w:r>
          </w:p>
        </w:tc>
        <w:tc>
          <w:tcPr>
            <w:tcW w:w="1812"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物联网水电管理系统软件</w:t>
            </w:r>
          </w:p>
        </w:tc>
        <w:tc>
          <w:tcPr>
            <w:tcW w:w="4638"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1)水电系统B/S架构，方便管理和维护</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2)月补电量功能：根据学校及学生寝室的具体情况设定相关的月补电量，免费使用一定额度电量；支持补助电量自动下发，支持补助清零、补助有效期，提供软件评测中心出具的测试报告（报告须明确响应此项功能指标）；</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3)实时计量，实时精确计量每个房间的用电信息；</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4)负载管理功能，可设置房间的最大负载值，并可根据需要随时对负载值进行调整，超负荷将自动断电，并记录数据；</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5)瞬时功率显示，可对不同的房间查询当前使用的功率大小；</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6)无费断电功能，可设置欠费断电提示、透支额度，无费断电，缴费供电；</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7)低量报警功能，支持低电量报警，剩余电量低于限值时，支持以网络、电话、短信、LED显示屏等多种方式提醒用户；</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8)支持水电联动，房间的水用完断电处理，实现停电不停水，以保障学生最基本的生活需要。（提供软件截图进行佐证）；</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9)实时监控功能，要求软件的监控界面实时地看到所有房间的用电情况、设备联机情况、可以监控到功率、电压、电表温度、剩余电量；</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10)温度检测，支持报警温度设置，模块温度上限设置（提供软件截图进行佐证）；</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11)支持</w:t>
            </w:r>
            <w:r>
              <w:rPr>
                <w:rFonts w:hint="eastAsia" w:ascii="宋体" w:hAnsi="宋体" w:eastAsia="宋体" w:cs="宋体"/>
                <w:color w:val="auto"/>
                <w:sz w:val="21"/>
                <w:szCs w:val="21"/>
                <w:vertAlign w:val="baseline"/>
                <w:lang w:val="en-US" w:eastAsia="zh-CN"/>
              </w:rPr>
              <w:t>利用现有校园卡及校园一卡通“完美校园”</w:t>
            </w:r>
            <w:r>
              <w:rPr>
                <w:rFonts w:hint="eastAsia" w:ascii="宋体" w:hAnsi="宋体" w:eastAsia="宋体" w:cs="宋体"/>
                <w:color w:val="auto"/>
                <w:sz w:val="21"/>
                <w:szCs w:val="21"/>
                <w:vertAlign w:val="baseline"/>
              </w:rPr>
              <w:t>线上线下购水购电。</w:t>
            </w:r>
          </w:p>
        </w:tc>
        <w:tc>
          <w:tcPr>
            <w:tcW w:w="750"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eastAsia="zh-CN"/>
              </w:rPr>
              <w:t>套</w:t>
            </w:r>
          </w:p>
        </w:tc>
        <w:tc>
          <w:tcPr>
            <w:tcW w:w="716"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w:t>
            </w:r>
          </w:p>
        </w:tc>
        <w:tc>
          <w:tcPr>
            <w:tcW w:w="1812"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管理机</w:t>
            </w:r>
          </w:p>
        </w:tc>
        <w:tc>
          <w:tcPr>
            <w:tcW w:w="4638"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rPr>
              <w:t>1)操作系统：基于 Linux 的应用开发环境</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2)时钟：日历时钟误差：&lt;0.5s/D(23℃)</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3)显示方式：≥4.3 寸以上TFT彩屏</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4)电磁隔离保护：内建 3KV</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5)工作温度：-20~70℃</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6)工作湿度：5~90%RH</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7)环境温度：-30~80℃</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8)湿度：20～90%RH</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9)通讯距离：≤2400m</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10)支持房间：最大700</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11)通讯速度-TCP/IP：10M/100Mbps</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12)通讯接口：≥3 路带隔离 RS-485接口，≥1路CAN接口，≥1个10/100Mbps以太网口，≥2 个 USB2.0 接口</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13)功耗：≤5W</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14)存储购电记录：3000条以上</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15)断电后数值保存：≥10年</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16)输入电压：220V(100~240VAC) 50Hz±2Hz</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17)外壳材料：采用阻燃材料</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18)下行通信：支持≥3路485通信口</w:t>
            </w:r>
            <w:r>
              <w:rPr>
                <w:rFonts w:hint="eastAsia" w:ascii="宋体" w:hAnsi="宋体" w:cs="宋体"/>
                <w:color w:val="auto"/>
                <w:sz w:val="21"/>
                <w:szCs w:val="21"/>
                <w:vertAlign w:val="baseline"/>
                <w:lang w:eastAsia="zh-CN"/>
              </w:rPr>
              <w:t>；</w:t>
            </w:r>
          </w:p>
        </w:tc>
        <w:tc>
          <w:tcPr>
            <w:tcW w:w="750"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eastAsia="zh-CN"/>
              </w:rPr>
              <w:t>台</w:t>
            </w:r>
          </w:p>
        </w:tc>
        <w:tc>
          <w:tcPr>
            <w:tcW w:w="716"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3</w:t>
            </w:r>
          </w:p>
        </w:tc>
        <w:tc>
          <w:tcPr>
            <w:tcW w:w="1812"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转发控制器</w:t>
            </w:r>
          </w:p>
        </w:tc>
        <w:tc>
          <w:tcPr>
            <w:tcW w:w="4638"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rPr>
              <w:t>1)供电电源：AC220V  50Hz</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2)使用环境 温度：-10～+50℃；湿度：20～90%RH</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3)通讯方式：上行：485；下行：电流环</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4)通信速率：最大9600bps</w:t>
            </w:r>
            <w:r>
              <w:rPr>
                <w:rFonts w:hint="eastAsia" w:ascii="宋体" w:hAnsi="宋体" w:cs="宋体"/>
                <w:color w:val="auto"/>
                <w:sz w:val="21"/>
                <w:szCs w:val="21"/>
                <w:vertAlign w:val="baseline"/>
                <w:lang w:eastAsia="zh-CN"/>
              </w:rPr>
              <w:t>；</w:t>
            </w:r>
          </w:p>
        </w:tc>
        <w:tc>
          <w:tcPr>
            <w:tcW w:w="750"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eastAsia="zh-CN"/>
              </w:rPr>
              <w:t>台</w:t>
            </w:r>
          </w:p>
        </w:tc>
        <w:tc>
          <w:tcPr>
            <w:tcW w:w="716" w:type="dxa"/>
            <w:vAlign w:val="center"/>
          </w:tcPr>
          <w:p>
            <w:pPr>
              <w:pStyle w:val="2"/>
              <w:keepNext w:val="0"/>
              <w:keepLines w:val="0"/>
              <w:pageBreakBefore w:val="0"/>
              <w:kinsoku/>
              <w:overflowPunct/>
              <w:topLinePunct w:val="0"/>
              <w:bidi w:val="0"/>
              <w:spacing w:line="360" w:lineRule="auto"/>
              <w:jc w:val="center"/>
              <w:textAlignment w:val="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4</w:t>
            </w:r>
          </w:p>
        </w:tc>
        <w:tc>
          <w:tcPr>
            <w:tcW w:w="1812"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 xml:space="preserve">单元计量控制模块  </w:t>
            </w:r>
          </w:p>
        </w:tc>
        <w:tc>
          <w:tcPr>
            <w:tcW w:w="4638"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rPr>
              <w:t>1)控制模式：各计量通道独立计量与控制</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2)适用电压范围：单相220V，符合GB/T 17215标准要求</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3)计量精确度：1.0级</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4)电表规格：5(40)A</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5)电流通道最大功耗：符合GB/T 17215标准要求</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6)通讯方式：电流环或RS485</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7)工作环境：符合GB/T 17215标准要求</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8)恶性负载分辨功率：≥100W（单用途回路）</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9)最大负荷限制：可编程设置</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10)内置温度采集传感器，具有过温保护功能（提供国家认可的具有检测资质的检测机构出具的检测报告复印件并加盖公章或软件截图进行佐证）</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11)潜动：防潜动</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12)定时时段：每天支持8个时间点，每周支持40个时段节假日设置：10个</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 xml:space="preserve">13)外壳材料：阻燃材料 </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14)安全保护功能：各计量通道可设定超载和恶载参数（提供国家认可具有检测资质的检测机构出具的检测报告复印件并加盖公章或软件截图进行佐证）</w:t>
            </w:r>
            <w:r>
              <w:rPr>
                <w:rFonts w:hint="eastAsia" w:ascii="宋体" w:hAnsi="宋体" w:cs="宋体"/>
                <w:color w:val="auto"/>
                <w:sz w:val="21"/>
                <w:szCs w:val="21"/>
                <w:vertAlign w:val="baseline"/>
                <w:lang w:eastAsia="zh-CN"/>
              </w:rPr>
              <w:t>；</w:t>
            </w:r>
          </w:p>
        </w:tc>
        <w:tc>
          <w:tcPr>
            <w:tcW w:w="750"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eastAsia="zh-CN"/>
              </w:rPr>
              <w:t>路</w:t>
            </w:r>
          </w:p>
        </w:tc>
        <w:tc>
          <w:tcPr>
            <w:tcW w:w="716" w:type="dxa"/>
            <w:vAlign w:val="center"/>
          </w:tcPr>
          <w:p>
            <w:pPr>
              <w:pStyle w:val="2"/>
              <w:keepNext w:val="0"/>
              <w:keepLines w:val="0"/>
              <w:pageBreakBefore w:val="0"/>
              <w:kinsoku/>
              <w:overflowPunct/>
              <w:topLinePunct w:val="0"/>
              <w:bidi w:val="0"/>
              <w:spacing w:line="360" w:lineRule="auto"/>
              <w:jc w:val="center"/>
              <w:textAlignment w:val="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w:t>
            </w:r>
          </w:p>
        </w:tc>
        <w:tc>
          <w:tcPr>
            <w:tcW w:w="1812"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自助购水购电机</w:t>
            </w:r>
          </w:p>
        </w:tc>
        <w:tc>
          <w:tcPr>
            <w:tcW w:w="4638"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rPr>
              <w:t>1)显示:128*64点阵汉显</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2)键盘:不低于16键，矩阵式键盘</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3)功耗:&lt;5W</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4)读卡距离:1-5cm</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5)支持卡类型:符合ISO14443 Type A标准的13.56M M1卡,CPU卡</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6)记录容量:不低于8000笔</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7)水电共用购水购电设备</w:t>
            </w:r>
            <w:r>
              <w:rPr>
                <w:rFonts w:hint="eastAsia" w:ascii="宋体" w:hAnsi="宋体" w:cs="宋体"/>
                <w:color w:val="auto"/>
                <w:sz w:val="21"/>
                <w:szCs w:val="21"/>
                <w:vertAlign w:val="baseline"/>
                <w:lang w:eastAsia="zh-CN"/>
              </w:rPr>
              <w:t>；</w:t>
            </w:r>
          </w:p>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8) 学校现有校园卡可在此设备上刷卡购水购电，消费记录上传至校园一卡通平台进行统一管理，统一结算。投标人必须对此做出书面承诺并加盖公章，否则视为投标无效。</w:t>
            </w:r>
          </w:p>
        </w:tc>
        <w:tc>
          <w:tcPr>
            <w:tcW w:w="750"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eastAsia="zh-CN"/>
              </w:rPr>
              <w:t>台</w:t>
            </w:r>
          </w:p>
        </w:tc>
        <w:tc>
          <w:tcPr>
            <w:tcW w:w="716"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6</w:t>
            </w:r>
          </w:p>
        </w:tc>
        <w:tc>
          <w:tcPr>
            <w:tcW w:w="1812"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智能远传预付费冷水表</w:t>
            </w:r>
          </w:p>
        </w:tc>
        <w:tc>
          <w:tcPr>
            <w:tcW w:w="4638" w:type="dxa"/>
            <w:vAlign w:val="center"/>
          </w:tcPr>
          <w:p>
            <w:pPr>
              <w:pStyle w:val="2"/>
              <w:keepNext w:val="0"/>
              <w:keepLines w:val="0"/>
              <w:pageBreakBefore w:val="0"/>
              <w:numPr>
                <w:ilvl w:val="0"/>
                <w:numId w:val="5"/>
              </w:numPr>
              <w:kinsoku/>
              <w:overflowPunct/>
              <w:topLinePunct w:val="0"/>
              <w:bidi w:val="0"/>
              <w:spacing w:line="360" w:lineRule="auto"/>
              <w:jc w:val="both"/>
              <w:textAlignment w:val="auto"/>
              <w:rPr>
                <w:rFonts w:hint="eastAsia" w:ascii="宋体" w:hAnsi="宋体" w:cs="宋体"/>
                <w:color w:val="auto"/>
                <w:sz w:val="21"/>
                <w:szCs w:val="21"/>
                <w:vertAlign w:val="baseline"/>
                <w:lang w:eastAsia="zh-CN"/>
              </w:rPr>
            </w:pPr>
            <w:r>
              <w:rPr>
                <w:rFonts w:hint="eastAsia" w:ascii="宋体" w:hAnsi="宋体" w:eastAsia="宋体" w:cs="宋体"/>
                <w:color w:val="auto"/>
                <w:sz w:val="21"/>
                <w:szCs w:val="21"/>
                <w:vertAlign w:val="baseline"/>
              </w:rPr>
              <w:t>环境等级：B级</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2)准确性等级：2级</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 xml:space="preserve">3)内部电池：3.6V/3200mAh Li </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4)静态工作电流：≤20μA</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5)电池使用寿命：≥6年</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6)工作压力：≤1MPa</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7)压损：≤0.063MPa</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8)标称口径：DN15\DN20</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9)液晶显示最小读数：0.1m3</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10)量程比：80</w:t>
            </w:r>
            <w:r>
              <w:rPr>
                <w:rFonts w:hint="eastAsia" w:ascii="宋体" w:hAnsi="宋体" w:cs="宋体"/>
                <w:color w:val="auto"/>
                <w:sz w:val="21"/>
                <w:szCs w:val="21"/>
                <w:vertAlign w:val="baseline"/>
                <w:lang w:eastAsia="zh-CN"/>
              </w:rPr>
              <w:t>；</w:t>
            </w:r>
          </w:p>
          <w:p>
            <w:pPr>
              <w:pStyle w:val="2"/>
              <w:keepNext w:val="0"/>
              <w:keepLines w:val="0"/>
              <w:pageBreakBefore w:val="0"/>
              <w:numPr>
                <w:ilvl w:val="0"/>
                <w:numId w:val="0"/>
              </w:numPr>
              <w:kinsoku/>
              <w:overflowPunct/>
              <w:topLinePunct w:val="0"/>
              <w:bidi w:val="0"/>
              <w:spacing w:line="360" w:lineRule="auto"/>
              <w:jc w:val="both"/>
              <w:textAlignment w:val="auto"/>
              <w:rPr>
                <w:rFonts w:hint="eastAsia" w:ascii="宋体" w:hAnsi="宋体" w:cs="宋体"/>
                <w:color w:val="auto"/>
                <w:sz w:val="21"/>
                <w:szCs w:val="21"/>
                <w:vertAlign w:val="baseline"/>
                <w:lang w:eastAsia="zh-CN"/>
              </w:rPr>
            </w:pPr>
            <w:r>
              <w:rPr>
                <w:rFonts w:hint="eastAsia" w:ascii="宋体" w:hAnsi="宋体" w:cs="宋体"/>
                <w:color w:val="auto"/>
                <w:sz w:val="21"/>
                <w:szCs w:val="21"/>
                <w:vertAlign w:val="baseline"/>
                <w:lang w:eastAsia="zh-CN"/>
              </w:rPr>
              <w:t>11)液晶显示最大读数：9999999.9m3；</w:t>
            </w:r>
            <w:r>
              <w:rPr>
                <w:rFonts w:hint="eastAsia" w:ascii="宋体" w:hAnsi="宋体" w:cs="宋体"/>
                <w:color w:val="auto"/>
                <w:sz w:val="21"/>
                <w:szCs w:val="21"/>
                <w:vertAlign w:val="baseline"/>
                <w:lang w:eastAsia="zh-CN"/>
              </w:rPr>
              <w:br w:type="textWrapping"/>
            </w:r>
            <w:r>
              <w:rPr>
                <w:rFonts w:hint="eastAsia" w:ascii="宋体" w:hAnsi="宋体" w:cs="宋体"/>
                <w:color w:val="auto"/>
                <w:sz w:val="21"/>
                <w:szCs w:val="21"/>
                <w:vertAlign w:val="baseline"/>
                <w:lang w:eastAsia="zh-CN"/>
              </w:rPr>
              <w:t>12)口径：DN20；</w:t>
            </w:r>
            <w:r>
              <w:rPr>
                <w:rFonts w:hint="eastAsia" w:ascii="宋体" w:hAnsi="宋体" w:cs="宋体"/>
                <w:color w:val="auto"/>
                <w:sz w:val="21"/>
                <w:szCs w:val="21"/>
                <w:vertAlign w:val="baseline"/>
                <w:lang w:eastAsia="zh-CN"/>
              </w:rPr>
              <w:br w:type="textWrapping"/>
            </w:r>
            <w:r>
              <w:rPr>
                <w:rFonts w:hint="eastAsia" w:ascii="宋体" w:hAnsi="宋体" w:cs="宋体"/>
                <w:color w:val="auto"/>
                <w:sz w:val="21"/>
                <w:szCs w:val="21"/>
                <w:vertAlign w:val="baseline"/>
                <w:lang w:eastAsia="zh-CN"/>
              </w:rPr>
              <w:t>13)最高允许水温：冷水表：30 ºC；</w:t>
            </w:r>
            <w:r>
              <w:rPr>
                <w:rFonts w:hint="eastAsia" w:ascii="宋体" w:hAnsi="宋体" w:cs="宋体"/>
                <w:color w:val="auto"/>
                <w:sz w:val="21"/>
                <w:szCs w:val="21"/>
                <w:vertAlign w:val="baseline"/>
                <w:lang w:eastAsia="zh-CN"/>
              </w:rPr>
              <w:br w:type="textWrapping"/>
            </w:r>
            <w:r>
              <w:rPr>
                <w:rFonts w:hint="eastAsia" w:ascii="宋体" w:hAnsi="宋体" w:cs="宋体"/>
                <w:color w:val="auto"/>
                <w:sz w:val="21"/>
                <w:szCs w:val="21"/>
                <w:vertAlign w:val="baseline"/>
                <w:lang w:eastAsia="zh-CN"/>
              </w:rPr>
              <w:t>14)环境湿度：(0～100)%RH。</w:t>
            </w:r>
          </w:p>
        </w:tc>
        <w:tc>
          <w:tcPr>
            <w:tcW w:w="750"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eastAsia="zh-CN"/>
              </w:rPr>
              <w:t>台</w:t>
            </w:r>
          </w:p>
        </w:tc>
        <w:tc>
          <w:tcPr>
            <w:tcW w:w="716" w:type="dxa"/>
            <w:vAlign w:val="center"/>
          </w:tcPr>
          <w:p>
            <w:pPr>
              <w:pStyle w:val="2"/>
              <w:keepNext w:val="0"/>
              <w:keepLines w:val="0"/>
              <w:pageBreakBefore w:val="0"/>
              <w:kinsoku/>
              <w:overflowPunct/>
              <w:topLinePunct w:val="0"/>
              <w:bidi w:val="0"/>
              <w:spacing w:line="360" w:lineRule="auto"/>
              <w:jc w:val="center"/>
              <w:textAlignment w:val="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7</w:t>
            </w:r>
          </w:p>
        </w:tc>
        <w:tc>
          <w:tcPr>
            <w:tcW w:w="1812"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抄送器</w:t>
            </w:r>
          </w:p>
        </w:tc>
        <w:tc>
          <w:tcPr>
            <w:tcW w:w="4638"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rPr>
              <w:t>1)上行连接：RS232 或RS485可选</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2)下行连接：M-BUS；波特率:  2400bps</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3)每通道带载数：32</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4)总线负载电流≤200mA，过载保护功能，故障解除自动恢复</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br w:type="textWrapping"/>
            </w:r>
            <w:r>
              <w:rPr>
                <w:rFonts w:hint="eastAsia" w:ascii="宋体" w:hAnsi="宋体" w:eastAsia="宋体" w:cs="宋体"/>
                <w:color w:val="auto"/>
                <w:sz w:val="21"/>
                <w:szCs w:val="21"/>
                <w:vertAlign w:val="baseline"/>
              </w:rPr>
              <w:t>5)工作环境-20~70℃；5~95%无凝露</w:t>
            </w:r>
            <w:r>
              <w:rPr>
                <w:rFonts w:hint="eastAsia" w:ascii="宋体" w:hAnsi="宋体" w:cs="宋体"/>
                <w:color w:val="auto"/>
                <w:sz w:val="21"/>
                <w:szCs w:val="21"/>
                <w:vertAlign w:val="baseline"/>
                <w:lang w:eastAsia="zh-CN"/>
              </w:rPr>
              <w:t>。</w:t>
            </w:r>
          </w:p>
        </w:tc>
        <w:tc>
          <w:tcPr>
            <w:tcW w:w="750"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eastAsia="zh-CN"/>
              </w:rPr>
              <w:t>台</w:t>
            </w:r>
          </w:p>
        </w:tc>
        <w:tc>
          <w:tcPr>
            <w:tcW w:w="716" w:type="dxa"/>
            <w:vAlign w:val="center"/>
          </w:tcPr>
          <w:p>
            <w:pPr>
              <w:pStyle w:val="2"/>
              <w:keepNext w:val="0"/>
              <w:keepLines w:val="0"/>
              <w:pageBreakBefore w:val="0"/>
              <w:kinsoku/>
              <w:overflowPunct/>
              <w:topLinePunct w:val="0"/>
              <w:bidi w:val="0"/>
              <w:spacing w:line="360" w:lineRule="auto"/>
              <w:jc w:val="center"/>
              <w:textAlignment w:val="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7"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8</w:t>
            </w:r>
          </w:p>
        </w:tc>
        <w:tc>
          <w:tcPr>
            <w:tcW w:w="1812"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val="en-US" w:eastAsia="zh-CN"/>
              </w:rPr>
              <w:t>线材</w:t>
            </w:r>
          </w:p>
        </w:tc>
        <w:tc>
          <w:tcPr>
            <w:tcW w:w="4638" w:type="dxa"/>
            <w:vAlign w:val="center"/>
          </w:tcPr>
          <w:p>
            <w:pPr>
              <w:pStyle w:val="2"/>
              <w:keepNext w:val="0"/>
              <w:keepLines w:val="0"/>
              <w:pageBreakBefore w:val="0"/>
              <w:kinsoku/>
              <w:overflowPunct/>
              <w:topLinePunct w:val="0"/>
              <w:bidi w:val="0"/>
              <w:spacing w:line="360" w:lineRule="auto"/>
              <w:jc w:val="both"/>
              <w:textAlignment w:val="auto"/>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rPr>
              <w:t>国标, RVV2*1.0/RVVP2*1.0</w:t>
            </w:r>
          </w:p>
        </w:tc>
        <w:tc>
          <w:tcPr>
            <w:tcW w:w="750" w:type="dxa"/>
            <w:vAlign w:val="center"/>
          </w:tcPr>
          <w:p>
            <w:pPr>
              <w:pStyle w:val="2"/>
              <w:keepNext w:val="0"/>
              <w:keepLines w:val="0"/>
              <w:pageBreakBefore w:val="0"/>
              <w:kinsoku/>
              <w:overflowPunct/>
              <w:topLinePunct w:val="0"/>
              <w:bidi w:val="0"/>
              <w:spacing w:line="360" w:lineRule="auto"/>
              <w:jc w:val="center"/>
              <w:textAlignment w:val="auto"/>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vertAlign w:val="baseline"/>
                <w:lang w:eastAsia="zh-CN"/>
              </w:rPr>
              <w:t>米</w:t>
            </w:r>
          </w:p>
        </w:tc>
        <w:tc>
          <w:tcPr>
            <w:tcW w:w="716" w:type="dxa"/>
            <w:vAlign w:val="center"/>
          </w:tcPr>
          <w:p>
            <w:pPr>
              <w:pStyle w:val="2"/>
              <w:keepNext w:val="0"/>
              <w:keepLines w:val="0"/>
              <w:pageBreakBefore w:val="0"/>
              <w:kinsoku/>
              <w:overflowPunct/>
              <w:topLinePunct w:val="0"/>
              <w:bidi w:val="0"/>
              <w:spacing w:line="360" w:lineRule="auto"/>
              <w:jc w:val="center"/>
              <w:textAlignment w:val="auto"/>
              <w:rPr>
                <w:rFonts w:hint="default" w:ascii="宋体" w:hAnsi="宋体" w:eastAsia="宋体" w:cs="宋体"/>
                <w:color w:val="auto"/>
                <w:sz w:val="21"/>
                <w:szCs w:val="21"/>
                <w:vertAlign w:val="baseline"/>
                <w:lang w:val="en-US" w:eastAsia="zh-CN"/>
              </w:rPr>
            </w:pPr>
            <w:r>
              <w:rPr>
                <w:rFonts w:hint="eastAsia" w:ascii="宋体" w:hAnsi="宋体" w:cs="宋体"/>
                <w:color w:val="auto"/>
                <w:sz w:val="21"/>
                <w:szCs w:val="21"/>
                <w:vertAlign w:val="baseline"/>
                <w:lang w:val="en-US" w:eastAsia="zh-CN"/>
              </w:rPr>
              <w:t>5500</w:t>
            </w:r>
          </w:p>
        </w:tc>
      </w:tr>
    </w:tbl>
    <w:p>
      <w:pPr>
        <w:pStyle w:val="2"/>
        <w:keepNext w:val="0"/>
        <w:keepLines w:val="0"/>
        <w:pageBreakBefore w:val="0"/>
        <w:kinsoku/>
        <w:overflowPunct/>
        <w:topLinePunct w:val="0"/>
        <w:bidi w:val="0"/>
        <w:spacing w:line="360" w:lineRule="auto"/>
        <w:textAlignment w:val="auto"/>
        <w:rPr>
          <w:color w:val="auto"/>
        </w:rPr>
      </w:pPr>
    </w:p>
    <w:p>
      <w:pPr>
        <w:pStyle w:val="2"/>
        <w:keepNext w:val="0"/>
        <w:keepLines w:val="0"/>
        <w:pageBreakBefore w:val="0"/>
        <w:kinsoku/>
        <w:overflowPunct/>
        <w:topLinePunct w:val="0"/>
        <w:bidi w:val="0"/>
        <w:spacing w:line="360" w:lineRule="auto"/>
        <w:ind w:firstLine="422" w:firstLineChars="200"/>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rPr>
        <w:t>注：</w:t>
      </w:r>
      <w:r>
        <w:rPr>
          <w:rFonts w:hint="eastAsia" w:ascii="宋体" w:hAnsi="宋体" w:cs="宋体"/>
          <w:b/>
          <w:bCs/>
          <w:color w:val="auto"/>
          <w:sz w:val="21"/>
          <w:szCs w:val="21"/>
          <w:lang w:val="en-US" w:eastAsia="zh-CN"/>
        </w:rPr>
        <w:t>中标人</w:t>
      </w:r>
      <w:r>
        <w:rPr>
          <w:rFonts w:hint="eastAsia" w:ascii="宋体" w:hAnsi="宋体" w:eastAsia="宋体" w:cs="宋体"/>
          <w:b/>
          <w:bCs/>
          <w:color w:val="auto"/>
          <w:sz w:val="21"/>
          <w:szCs w:val="21"/>
          <w:lang w:val="en-US" w:eastAsia="zh-CN"/>
        </w:rPr>
        <w:t>需提供工程实施方案、网络拓扑图，确定设备安装位置，以上均需征得使用方同意。</w:t>
      </w:r>
    </w:p>
    <w:p>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422" w:firstLineChars="200"/>
        <w:textAlignment w:val="auto"/>
        <w:rPr>
          <w:rFonts w:hint="eastAsia" w:ascii="宋体" w:hAnsi="宋体" w:eastAsia="宋体" w:cs="宋体"/>
          <w:b/>
          <w:bCs/>
          <w:color w:val="auto"/>
          <w:sz w:val="21"/>
          <w:szCs w:val="21"/>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cs="宋体"/>
          <w:b/>
          <w:bCs/>
          <w:color w:val="auto"/>
          <w:sz w:val="24"/>
          <w:szCs w:val="24"/>
          <w:lang w:val="en-US" w:eastAsia="zh-CN"/>
        </w:rPr>
      </w:pPr>
      <w:r>
        <w:rPr>
          <w:rFonts w:hint="eastAsia" w:ascii="宋体" w:hAnsi="宋体" w:cs="宋体"/>
          <w:b w:val="0"/>
          <w:bCs w:val="0"/>
          <w:color w:val="auto"/>
          <w:sz w:val="24"/>
          <w:szCs w:val="24"/>
          <w:lang w:val="en-US" w:eastAsia="zh-CN"/>
        </w:rPr>
        <w:t>（二）服务要求</w:t>
      </w:r>
    </w:p>
    <w:p>
      <w:pPr>
        <w:pStyle w:val="2"/>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cs="宋体"/>
          <w:b w:val="0"/>
          <w:bCs w:val="0"/>
          <w:color w:val="auto"/>
          <w:sz w:val="24"/>
          <w:szCs w:val="24"/>
          <w:lang w:val="en-US" w:eastAsia="zh-CN"/>
        </w:rPr>
      </w:pPr>
      <w:r>
        <w:rPr>
          <w:rFonts w:hint="default" w:ascii="宋体" w:hAnsi="宋体" w:cs="宋体"/>
          <w:b w:val="0"/>
          <w:bCs w:val="0"/>
          <w:color w:val="auto"/>
          <w:sz w:val="24"/>
          <w:szCs w:val="24"/>
          <w:lang w:val="en-US" w:eastAsia="zh-CN"/>
        </w:rPr>
        <w:t>本次采购货物的免费保修期为货物验收合格之日起不少于36个月（国家或厂家对设备或配件另有约定更长免费保修期限的从其约定），软件免费升级，在免费保修期内如出现故障，中标供应商应免费提供咨询、维修服务，包括免费更换零部件。</w:t>
      </w:r>
    </w:p>
    <w:p>
      <w:pPr>
        <w:pStyle w:val="2"/>
        <w:keepNext w:val="0"/>
        <w:keepLines w:val="0"/>
        <w:pageBreakBefore w:val="0"/>
        <w:widowControl w:val="0"/>
        <w:numPr>
          <w:ilvl w:val="0"/>
          <w:numId w:val="6"/>
        </w:numPr>
        <w:kinsoku/>
        <w:wordWrap/>
        <w:overflowPunct/>
        <w:topLinePunct w:val="0"/>
        <w:autoSpaceDE w:val="0"/>
        <w:autoSpaceDN w:val="0"/>
        <w:bidi w:val="0"/>
        <w:adjustRightInd w:val="0"/>
        <w:snapToGrid/>
        <w:spacing w:line="360" w:lineRule="auto"/>
        <w:ind w:left="0" w:leftChars="0" w:firstLine="480" w:firstLineChars="200"/>
        <w:textAlignment w:val="auto"/>
        <w:rPr>
          <w:rFonts w:hint="default" w:ascii="宋体" w:hAnsi="宋体" w:cs="宋体"/>
          <w:b w:val="0"/>
          <w:bCs w:val="0"/>
          <w:color w:val="auto"/>
          <w:sz w:val="24"/>
          <w:szCs w:val="24"/>
          <w:lang w:val="en-US" w:eastAsia="zh-CN"/>
        </w:rPr>
      </w:pPr>
      <w:r>
        <w:rPr>
          <w:rFonts w:hint="default" w:ascii="宋体" w:hAnsi="宋体" w:cs="宋体"/>
          <w:b w:val="0"/>
          <w:bCs w:val="0"/>
          <w:color w:val="auto"/>
          <w:sz w:val="24"/>
          <w:szCs w:val="24"/>
          <w:lang w:val="en-US" w:eastAsia="zh-CN"/>
        </w:rPr>
        <w:t>免费保修期内货物一旦出现故障，中标供应商响应时间不超过4小时，检修人员应在12小时内到设备安装地点及时排除故障，24小时内解决问题并恢复正常使用。如故障无法排除，中标供应商应负责使用替代设备，其费用由中标供应商承担。保修期过后对设备故障需要更换的配件将以成本价提供。</w:t>
      </w:r>
    </w:p>
    <w:p>
      <w:pPr>
        <w:pStyle w:val="2"/>
        <w:keepNext w:val="0"/>
        <w:keepLines w:val="0"/>
        <w:pageBreakBefore w:val="0"/>
        <w:kinsoku/>
        <w:overflowPunct/>
        <w:topLinePunct w:val="0"/>
        <w:bidi w:val="0"/>
        <w:spacing w:line="360" w:lineRule="auto"/>
        <w:ind w:firstLine="422" w:firstLineChars="200"/>
        <w:textAlignment w:val="auto"/>
        <w:rPr>
          <w:rFonts w:hint="default" w:ascii="宋体" w:hAnsi="宋体" w:cs="宋体"/>
          <w:b/>
          <w:bCs/>
          <w:color w:val="auto"/>
          <w:sz w:val="21"/>
          <w:szCs w:val="21"/>
          <w:lang w:val="en-US" w:eastAsia="zh-CN"/>
        </w:rPr>
      </w:pPr>
    </w:p>
    <w:p>
      <w:pPr>
        <w:pStyle w:val="2"/>
        <w:keepNext w:val="0"/>
        <w:keepLines w:val="0"/>
        <w:pageBreakBefore w:val="0"/>
        <w:kinsoku/>
        <w:overflowPunct/>
        <w:topLinePunct w:val="0"/>
        <w:bidi w:val="0"/>
        <w:spacing w:line="360" w:lineRule="auto"/>
        <w:ind w:firstLine="422" w:firstLineChars="200"/>
        <w:textAlignment w:val="auto"/>
        <w:rPr>
          <w:rFonts w:hint="default" w:ascii="宋体" w:hAnsi="宋体" w:cs="宋体"/>
          <w:b/>
          <w:bCs/>
          <w:color w:val="auto"/>
          <w:sz w:val="21"/>
          <w:szCs w:val="21"/>
          <w:lang w:val="en-US" w:eastAsia="zh-CN"/>
        </w:rPr>
      </w:pPr>
    </w:p>
    <w:p>
      <w:pPr>
        <w:keepNext w:val="0"/>
        <w:keepLines w:val="0"/>
        <w:pageBreakBefore w:val="0"/>
        <w:widowControl/>
        <w:numPr>
          <w:ilvl w:val="0"/>
          <w:numId w:val="0"/>
        </w:numPr>
        <w:kinsoku/>
        <w:overflowPunct/>
        <w:topLinePunct w:val="0"/>
        <w:bidi w:val="0"/>
        <w:spacing w:before="75" w:after="75" w:line="360" w:lineRule="auto"/>
        <w:jc w:val="left"/>
        <w:textAlignment w:val="auto"/>
        <w:outlineLvl w:val="1"/>
        <w:rPr>
          <w:rFonts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三、</w:t>
      </w:r>
      <w:r>
        <w:rPr>
          <w:rFonts w:hint="eastAsia" w:ascii="宋体" w:hAnsi="宋体" w:eastAsia="宋体" w:cs="宋体"/>
          <w:b/>
          <w:bCs/>
          <w:color w:val="auto"/>
          <w:kern w:val="0"/>
          <w:sz w:val="24"/>
          <w:szCs w:val="24"/>
        </w:rPr>
        <w:t>商务条件</w:t>
      </w:r>
    </w:p>
    <w:p>
      <w:pPr>
        <w:keepNext w:val="0"/>
        <w:keepLines w:val="0"/>
        <w:pageBreakBefore w:val="0"/>
        <w:widowControl/>
        <w:kinsoku/>
        <w:overflowPunct/>
        <w:topLinePunct w:val="0"/>
        <w:bidi w:val="0"/>
        <w:spacing w:before="75" w:after="75" w:line="360" w:lineRule="auto"/>
        <w:ind w:left="479" w:leftChars="228"/>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1、交付地点：福建省泉州市丰泽区东海大街398号泉州师范学院。</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2、交付时间：合同签订</w:t>
      </w:r>
      <w:r>
        <w:rPr>
          <w:rFonts w:hint="eastAsia" w:ascii="宋体" w:hAnsi="宋体" w:eastAsia="宋体" w:cs="宋体"/>
          <w:color w:val="auto"/>
          <w:sz w:val="24"/>
          <w:szCs w:val="24"/>
        </w:rPr>
        <w:t>后</w:t>
      </w:r>
      <w:r>
        <w:rPr>
          <w:rFonts w:hint="eastAsia" w:ascii="宋体" w:hAnsi="宋体" w:eastAsia="宋体" w:cs="宋体"/>
          <w:color w:val="auto"/>
          <w:sz w:val="24"/>
          <w:szCs w:val="24"/>
          <w:lang w:val="en-US" w:eastAsia="zh-CN"/>
        </w:rPr>
        <w:t>（60）天</w:t>
      </w:r>
      <w:r>
        <w:rPr>
          <w:rFonts w:hint="eastAsia" w:ascii="宋体" w:hAnsi="宋体" w:eastAsia="宋体" w:cs="宋体"/>
          <w:color w:val="auto"/>
          <w:sz w:val="24"/>
          <w:szCs w:val="24"/>
        </w:rPr>
        <w:t>内</w:t>
      </w:r>
      <w:r>
        <w:rPr>
          <w:rFonts w:hint="eastAsia" w:ascii="宋体" w:hAnsi="宋体" w:eastAsia="宋体" w:cs="宋体"/>
          <w:color w:val="auto"/>
          <w:sz w:val="24"/>
          <w:szCs w:val="24"/>
          <w:lang w:eastAsia="zh-CN"/>
        </w:rPr>
        <w:t>交货</w:t>
      </w:r>
      <w:r>
        <w:rPr>
          <w:rFonts w:hint="eastAsia" w:ascii="宋体" w:hAnsi="宋体" w:eastAsia="宋体" w:cs="宋体"/>
          <w:color w:val="auto"/>
          <w:sz w:val="24"/>
          <w:szCs w:val="24"/>
        </w:rPr>
        <w:t>。</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3、交付条件：整套软件、设备各组成部分必须是完整的、全新的、功能齐全的；并且符合国家质量检测标准的，符合招标文件中的规格型号及配置要求的货物(包括零部件)。</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4、是否收取履约保证金： 是。履约保证金百分比：</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%。说明：（1）中标供应商在与采购人签订合同前，应向采购人提交按</w:t>
      </w:r>
      <w:r>
        <w:rPr>
          <w:rFonts w:hint="eastAsia" w:ascii="宋体" w:hAnsi="宋体" w:eastAsia="宋体" w:cs="宋体"/>
          <w:color w:val="auto"/>
          <w:kern w:val="0"/>
          <w:sz w:val="24"/>
          <w:szCs w:val="24"/>
          <w:lang w:eastAsia="zh-CN"/>
        </w:rPr>
        <w:t>合同价</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%计算的履约保证金。（2）该履约保证金在正式验收合格后，转为质保金，质保金于设备保修期满（以中标人具体承诺期限为准）后且无质量及售后服务问题时一个月内一次性无息退还。</w:t>
      </w:r>
    </w:p>
    <w:p>
      <w:pPr>
        <w:keepNext w:val="0"/>
        <w:keepLines w:val="0"/>
        <w:pageBreakBefore w:val="0"/>
        <w:widowControl/>
        <w:kinsoku/>
        <w:overflowPunct/>
        <w:topLinePunct w:val="0"/>
        <w:bidi w:val="0"/>
        <w:spacing w:before="75" w:after="75" w:line="360" w:lineRule="auto"/>
        <w:ind w:left="479" w:leftChars="228"/>
        <w:jc w:val="left"/>
        <w:textAlignment w:val="auto"/>
        <w:rPr>
          <w:rFonts w:ascii="宋体" w:hAnsi="宋体" w:eastAsia="宋体" w:cs="宋体"/>
          <w:color w:val="auto"/>
          <w:kern w:val="0"/>
          <w:sz w:val="24"/>
          <w:szCs w:val="24"/>
        </w:rPr>
      </w:pPr>
      <w:r>
        <w:rPr>
          <w:rFonts w:hint="eastAsia" w:ascii="宋体" w:hAnsi="宋体" w:eastAsia="宋体" w:cs="宋体"/>
          <w:color w:val="auto"/>
          <w:sz w:val="24"/>
          <w:szCs w:val="24"/>
        </w:rPr>
        <w:t>5、是否邀请投标人参与验收：否</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6、</w:t>
      </w:r>
      <w:r>
        <w:rPr>
          <w:rFonts w:hint="eastAsia" w:ascii="宋体" w:hAnsi="宋体" w:eastAsia="宋体" w:cs="宋体"/>
          <w:color w:val="auto"/>
          <w:kern w:val="0"/>
          <w:sz w:val="24"/>
          <w:szCs w:val="24"/>
        </w:rPr>
        <w:t xml:space="preserve">验收方式数据表格 </w:t>
      </w:r>
    </w:p>
    <w:tbl>
      <w:tblPr>
        <w:tblStyle w:val="10"/>
        <w:tblpPr w:leftFromText="180" w:rightFromText="180" w:vertAnchor="text" w:horzAnchor="page" w:tblpX="2149" w:tblpY="400"/>
        <w:tblOverlap w:val="never"/>
        <w:tblW w:w="7971"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2"/>
        <w:gridCol w:w="6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blHeader/>
          <w:tblCellSpacing w:w="0" w:type="dxa"/>
        </w:trPr>
        <w:tc>
          <w:tcPr>
            <w:tcW w:w="1302"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验收期次</w:t>
            </w:r>
          </w:p>
        </w:tc>
        <w:tc>
          <w:tcPr>
            <w:tcW w:w="6669" w:type="dxa"/>
            <w:vAlign w:val="center"/>
          </w:tcPr>
          <w:p>
            <w:pPr>
              <w:keepNext w:val="0"/>
              <w:keepLines w:val="0"/>
              <w:pageBreakBefore w:val="0"/>
              <w:widowControl/>
              <w:kinsoku/>
              <w:overflowPunct/>
              <w:topLinePunct w:val="0"/>
              <w:bidi w:val="0"/>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tblCellSpacing w:w="0" w:type="dxa"/>
        </w:trPr>
        <w:tc>
          <w:tcPr>
            <w:tcW w:w="1302" w:type="dxa"/>
            <w:vAlign w:val="center"/>
          </w:tcPr>
          <w:p>
            <w:pPr>
              <w:keepNext w:val="0"/>
              <w:keepLines w:val="0"/>
              <w:pageBreakBefore w:val="0"/>
              <w:kinsoku/>
              <w:overflowPunct/>
              <w:topLinePunct w:val="0"/>
              <w:bidi w:val="0"/>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6669" w:type="dxa"/>
            <w:vAlign w:val="center"/>
          </w:tcPr>
          <w:p>
            <w:pPr>
              <w:keepNext w:val="0"/>
              <w:keepLines w:val="0"/>
              <w:pageBreakBefore w:val="0"/>
              <w:kinsoku/>
              <w:overflowPunct/>
              <w:topLinePunct w:val="0"/>
              <w:bidi w:val="0"/>
              <w:spacing w:line="360" w:lineRule="auto"/>
              <w:ind w:firstLine="480" w:firstLineChars="200"/>
              <w:jc w:val="both"/>
              <w:textAlignment w:val="auto"/>
              <w:rPr>
                <w:rFonts w:ascii="宋体" w:hAnsi="宋体" w:eastAsia="宋体" w:cs="宋体"/>
                <w:color w:val="auto"/>
                <w:kern w:val="0"/>
                <w:sz w:val="24"/>
                <w:szCs w:val="24"/>
              </w:rPr>
            </w:pPr>
            <w:r>
              <w:rPr>
                <w:rFonts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采购单位根据招标文件和合同所规定的技术要求、规格质量及其它要求，组成项目验收小组对采购项目进行验收，验收合格后，签发《政府采购验收单》。</w:t>
            </w:r>
            <w:r>
              <w:rPr>
                <w:rFonts w:ascii="宋体" w:hAnsi="宋体" w:eastAsia="宋体" w:cs="宋体"/>
                <w:color w:val="auto"/>
                <w:kern w:val="0"/>
                <w:sz w:val="24"/>
                <w:szCs w:val="24"/>
              </w:rPr>
              <w:t xml:space="preserve"> 2</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项目验收小组应为</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人以上（含</w:t>
            </w:r>
            <w:r>
              <w:rPr>
                <w:rFonts w:ascii="宋体" w:hAnsi="宋体" w:eastAsia="宋体" w:cs="宋体"/>
                <w:color w:val="auto"/>
                <w:kern w:val="0"/>
                <w:sz w:val="24"/>
                <w:szCs w:val="24"/>
              </w:rPr>
              <w:t>3</w:t>
            </w:r>
            <w:r>
              <w:rPr>
                <w:rFonts w:hint="eastAsia" w:ascii="宋体" w:hAnsi="宋体" w:eastAsia="宋体" w:cs="宋体"/>
                <w:color w:val="auto"/>
                <w:kern w:val="0"/>
                <w:sz w:val="24"/>
                <w:szCs w:val="24"/>
              </w:rPr>
              <w:t>人）单数。</w:t>
            </w:r>
            <w:r>
              <w:rPr>
                <w:rFonts w:ascii="宋体" w:hAnsi="宋体" w:eastAsia="宋体" w:cs="宋体"/>
                <w:color w:val="auto"/>
                <w:kern w:val="0"/>
                <w:sz w:val="24"/>
                <w:szCs w:val="24"/>
              </w:rPr>
              <w:t xml:space="preserve"> 3</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验收规范：生产厂家的产品说明书、合格证书及技术资料等；国家现行规范；当地监督管理部门要求的安全规范以及采购文件的规定。</w:t>
            </w:r>
            <w:r>
              <w:rPr>
                <w:rFonts w:ascii="宋体" w:hAnsi="宋体" w:eastAsia="宋体" w:cs="宋体"/>
                <w:color w:val="auto"/>
                <w:kern w:val="0"/>
                <w:sz w:val="24"/>
                <w:szCs w:val="24"/>
              </w:rPr>
              <w:t xml:space="preserve"> 4</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验收程序：货物验收分出厂检验、货到初步验收、安装调试验收三个阶段。</w:t>
            </w:r>
            <w:r>
              <w:rPr>
                <w:rFonts w:ascii="宋体" w:hAnsi="宋体" w:eastAsia="宋体" w:cs="宋体"/>
                <w:color w:val="auto"/>
                <w:kern w:val="0"/>
                <w:sz w:val="24"/>
                <w:szCs w:val="24"/>
              </w:rPr>
              <w:t xml:space="preserve"> 5</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出厂检验：中标人需提供设备、安装材料、工具、软件包和文件的发货清单和计划，发货计划应经采购人认可后实施。中标人负责所提供产品的出厂检验，保证产品原产地和技术指标的真实性、完整性、合法性，在采购人指定地点进行统一设备、软件设置和安装，并负责将产品送达交货地点，并向采购人提供货物制造厂的出厂检验报告、质量合格证书。采购人（或采购人授权单位）在设备（含软件）到货后，将按合同规定对所交货物进行清点、核对和商检。</w:t>
            </w:r>
            <w:r>
              <w:rPr>
                <w:rFonts w:ascii="宋体" w:hAnsi="宋体" w:eastAsia="宋体" w:cs="宋体"/>
                <w:color w:val="auto"/>
                <w:kern w:val="0"/>
                <w:sz w:val="24"/>
                <w:szCs w:val="24"/>
              </w:rPr>
              <w:t>6</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初步验收：货物到达交货地点后，由采购人会同有关部门进行基本质量和数量的验收（但不作为最终合格的保证）。该验收应达到合同规定的要求。</w:t>
            </w:r>
            <w:r>
              <w:rPr>
                <w:rFonts w:ascii="宋体" w:hAnsi="宋体" w:eastAsia="宋体" w:cs="宋体"/>
                <w:color w:val="auto"/>
                <w:kern w:val="0"/>
                <w:sz w:val="24"/>
                <w:szCs w:val="24"/>
              </w:rPr>
              <w:t xml:space="preserve"> 7</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安装调试验收：中标人根据采购要求进行产品安装、调试后，由采购人进行使用性能方面的验收（最终验收）。各项指标和参数应符合验收标准，凡未达到质量要求，作退货处理，中标人承担违约责任。</w:t>
            </w:r>
            <w:r>
              <w:rPr>
                <w:rFonts w:ascii="宋体" w:hAnsi="宋体" w:eastAsia="宋体" w:cs="宋体"/>
                <w:color w:val="auto"/>
                <w:kern w:val="0"/>
                <w:sz w:val="24"/>
                <w:szCs w:val="24"/>
              </w:rPr>
              <w:t xml:space="preserve"> 8</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投标人不得虚报各项技术指标，中标产品若不能符合技术要求，中标人必须无条件及时换货，并承担由此给采购单位造成的一切损失。</w:t>
            </w:r>
            <w:r>
              <w:rPr>
                <w:rFonts w:ascii="宋体" w:hAnsi="宋体" w:eastAsia="宋体" w:cs="宋体"/>
                <w:color w:val="auto"/>
                <w:kern w:val="0"/>
                <w:sz w:val="24"/>
                <w:szCs w:val="24"/>
              </w:rPr>
              <w:t xml:space="preserve"> 9</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安装货物由中标人按照合同约定的具体数量、地点及时间运送到安装现场进行安装，并负责安装调试工作，经最终验收合格后，交付采购人使用。</w:t>
            </w:r>
            <w:r>
              <w:rPr>
                <w:rFonts w:ascii="宋体" w:hAnsi="宋体" w:eastAsia="宋体" w:cs="宋体"/>
                <w:color w:val="auto"/>
                <w:kern w:val="0"/>
                <w:sz w:val="24"/>
                <w:szCs w:val="24"/>
              </w:rPr>
              <w:t xml:space="preserve"> 10</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培训：中标人应结合本次采购的货物，有计划地对采购人派出管理、维护人员进行安装现场的基本知识、使用、维护及保养技术的培训。</w:t>
            </w:r>
            <w:r>
              <w:rPr>
                <w:rFonts w:ascii="宋体" w:hAnsi="宋体" w:eastAsia="宋体" w:cs="宋体"/>
                <w:color w:val="auto"/>
                <w:kern w:val="0"/>
                <w:sz w:val="24"/>
                <w:szCs w:val="24"/>
              </w:rPr>
              <w:t xml:space="preserve"> 11</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技术资料要求</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lang w:eastAsia="zh-CN"/>
              </w:rPr>
              <w:t>：</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）包装和装箱的详细情况说明；</w:t>
            </w:r>
            <w:r>
              <w:rPr>
                <w:rFonts w:ascii="宋体" w:hAnsi="宋体" w:eastAsia="宋体" w:cs="宋体"/>
                <w:color w:val="auto"/>
                <w:kern w:val="0"/>
                <w:sz w:val="24"/>
                <w:szCs w:val="24"/>
              </w:rPr>
              <w:t xml:space="preserve"> 2</w:t>
            </w:r>
            <w:r>
              <w:rPr>
                <w:rFonts w:hint="eastAsia" w:ascii="宋体" w:hAnsi="宋体" w:eastAsia="宋体" w:cs="宋体"/>
                <w:color w:val="auto"/>
                <w:kern w:val="0"/>
                <w:sz w:val="24"/>
                <w:szCs w:val="24"/>
              </w:rPr>
              <w:t>）中标人应向采购人提供完整的技术资料中文壹套（技术说明书、使用说明书、维修手册、安装维修手册、操作手册、常用易消耗品单价等）。</w:t>
            </w:r>
          </w:p>
        </w:tc>
      </w:tr>
    </w:tbl>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p>
    <w:p>
      <w:pPr>
        <w:keepNext w:val="0"/>
        <w:keepLines w:val="0"/>
        <w:pageBreakBefore w:val="0"/>
        <w:widowControl/>
        <w:numPr>
          <w:ilvl w:val="0"/>
          <w:numId w:val="7"/>
        </w:numPr>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合同款项支付</w:t>
      </w:r>
    </w:p>
    <w:tbl>
      <w:tblPr>
        <w:tblStyle w:val="11"/>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707"/>
        <w:gridCol w:w="5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224" w:type="dxa"/>
            <w:vAlign w:val="center"/>
          </w:tcPr>
          <w:p>
            <w:pPr>
              <w:keepNext w:val="0"/>
              <w:keepLines w:val="0"/>
              <w:pageBreakBefore w:val="0"/>
              <w:kinsoku/>
              <w:overflowPunct/>
              <w:topLinePunct w:val="0"/>
              <w:bidi w:val="0"/>
              <w:spacing w:line="360" w:lineRule="auto"/>
              <w:jc w:val="center"/>
              <w:textAlignment w:val="auto"/>
              <w:rPr>
                <w:rFonts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支付期次</w:t>
            </w:r>
          </w:p>
        </w:tc>
        <w:tc>
          <w:tcPr>
            <w:tcW w:w="1707" w:type="dxa"/>
            <w:vAlign w:val="center"/>
          </w:tcPr>
          <w:p>
            <w:pPr>
              <w:keepNext w:val="0"/>
              <w:keepLines w:val="0"/>
              <w:pageBreakBefore w:val="0"/>
              <w:kinsoku/>
              <w:overflowPunct/>
              <w:topLinePunct w:val="0"/>
              <w:bidi w:val="0"/>
              <w:spacing w:line="360" w:lineRule="auto"/>
              <w:jc w:val="center"/>
              <w:textAlignment w:val="auto"/>
              <w:rPr>
                <w:rFonts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支付比例（%）</w:t>
            </w:r>
          </w:p>
        </w:tc>
        <w:tc>
          <w:tcPr>
            <w:tcW w:w="5585" w:type="dxa"/>
            <w:vAlign w:val="center"/>
          </w:tcPr>
          <w:p>
            <w:pPr>
              <w:keepNext w:val="0"/>
              <w:keepLines w:val="0"/>
              <w:pageBreakBefore w:val="0"/>
              <w:kinsoku/>
              <w:overflowPunct/>
              <w:topLinePunct w:val="0"/>
              <w:bidi w:val="0"/>
              <w:spacing w:line="360" w:lineRule="auto"/>
              <w:jc w:val="center"/>
              <w:textAlignment w:val="auto"/>
              <w:rPr>
                <w:rFonts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keepNext w:val="0"/>
              <w:keepLines w:val="0"/>
              <w:pageBreakBefore w:val="0"/>
              <w:kinsoku/>
              <w:overflowPunct/>
              <w:topLinePunct w:val="0"/>
              <w:bidi w:val="0"/>
              <w:spacing w:line="360" w:lineRule="auto"/>
              <w:jc w:val="center"/>
              <w:textAlignment w:val="auto"/>
              <w:rPr>
                <w:rFonts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1707" w:type="dxa"/>
            <w:vAlign w:val="center"/>
          </w:tcPr>
          <w:p>
            <w:pPr>
              <w:keepNext w:val="0"/>
              <w:keepLines w:val="0"/>
              <w:pageBreakBefore w:val="0"/>
              <w:kinsoku/>
              <w:overflowPunct/>
              <w:topLinePunct w:val="0"/>
              <w:bidi w:val="0"/>
              <w:spacing w:line="360" w:lineRule="auto"/>
              <w:jc w:val="center"/>
              <w:textAlignment w:val="auto"/>
              <w:rPr>
                <w:rFonts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100</w:t>
            </w:r>
          </w:p>
        </w:tc>
        <w:tc>
          <w:tcPr>
            <w:tcW w:w="5585" w:type="dxa"/>
            <w:vAlign w:val="center"/>
          </w:tcPr>
          <w:p>
            <w:pPr>
              <w:keepNext w:val="0"/>
              <w:keepLines w:val="0"/>
              <w:pageBreakBefore w:val="0"/>
              <w:kinsoku/>
              <w:overflowPunct/>
              <w:topLinePunct w:val="0"/>
              <w:bidi w:val="0"/>
              <w:spacing w:line="360" w:lineRule="auto"/>
              <w:textAlignment w:val="auto"/>
              <w:rPr>
                <w:rFonts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货到现场安装调试完毕，经正式验收合格并收到税务发票后，采购单位1个月内支付合同总价100%的款项。货到现场安装调试完毕，经正式验收合格并收到税务发票后，采购单位1个月内支付合同总价100%的款项。</w:t>
            </w:r>
          </w:p>
        </w:tc>
      </w:tr>
    </w:tbl>
    <w:p>
      <w:pPr>
        <w:keepNext w:val="0"/>
        <w:keepLines w:val="0"/>
        <w:pageBreakBefore w:val="0"/>
        <w:widowControl/>
        <w:kinsoku/>
        <w:overflowPunct/>
        <w:topLinePunct w:val="0"/>
        <w:bidi w:val="0"/>
        <w:spacing w:before="75" w:after="75" w:line="360" w:lineRule="auto"/>
        <w:jc w:val="left"/>
        <w:textAlignment w:val="auto"/>
        <w:outlineLvl w:val="1"/>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四、其他事项</w:t>
      </w:r>
    </w:p>
    <w:p>
      <w:pPr>
        <w:pStyle w:val="8"/>
        <w:keepNext w:val="0"/>
        <w:keepLines w:val="0"/>
        <w:pageBreakBefore w:val="0"/>
        <w:widowControl/>
        <w:kinsoku/>
        <w:overflowPunct/>
        <w:topLinePunct w:val="0"/>
        <w:bidi w:val="0"/>
        <w:spacing w:before="75" w:beforeAutospacing="0" w:after="75" w:afterAutospacing="0" w:line="360" w:lineRule="auto"/>
        <w:ind w:firstLine="480" w:firstLineChars="200"/>
        <w:textAlignment w:val="auto"/>
        <w:rPr>
          <w:rFonts w:ascii="宋体" w:hAnsi="宋体" w:eastAsia="宋体" w:cs="宋体"/>
          <w:color w:val="auto"/>
          <w:szCs w:val="24"/>
        </w:rPr>
      </w:pPr>
      <w:r>
        <w:rPr>
          <w:rFonts w:hint="eastAsia" w:ascii="宋体" w:hAnsi="宋体" w:eastAsia="宋体" w:cs="宋体"/>
          <w:color w:val="auto"/>
          <w:szCs w:val="24"/>
        </w:rPr>
        <w:t>1、除谈判文件另有规定外，若出现有关法律、法规和规章有强制性规定但谈判文件未列明的情形，则供应商应按照有关法律、法规和规章强制性规定执行。</w:t>
      </w:r>
    </w:p>
    <w:p>
      <w:pPr>
        <w:keepNext w:val="0"/>
        <w:keepLines w:val="0"/>
        <w:pageBreakBefore w:val="0"/>
        <w:kinsoku/>
        <w:overflowPunct/>
        <w:topLinePunct w:val="0"/>
        <w:bidi w:val="0"/>
        <w:spacing w:line="360" w:lineRule="auto"/>
        <w:ind w:firstLine="480" w:firstLineChars="200"/>
        <w:textAlignment w:val="auto"/>
        <w:rPr>
          <w:rFonts w:ascii="宋体" w:hAnsi="宋体" w:eastAsia="宋体" w:cs="宋体"/>
          <w:b/>
          <w:bCs/>
          <w:color w:val="auto"/>
          <w:kern w:val="0"/>
          <w:sz w:val="30"/>
          <w:szCs w:val="30"/>
        </w:rPr>
      </w:pPr>
      <w:r>
        <w:rPr>
          <w:rFonts w:hint="eastAsia" w:ascii="宋体" w:hAnsi="宋体" w:eastAsia="宋体" w:cs="宋体"/>
          <w:color w:val="auto"/>
          <w:kern w:val="0"/>
          <w:sz w:val="24"/>
          <w:szCs w:val="24"/>
        </w:rPr>
        <w:t>2、无。</w:t>
      </w:r>
      <w:r>
        <w:rPr>
          <w:rFonts w:hint="eastAsia" w:ascii="宋体" w:hAnsi="宋体" w:eastAsia="宋体" w:cs="宋体"/>
          <w:b/>
          <w:bCs/>
          <w:color w:val="auto"/>
          <w:kern w:val="0"/>
          <w:sz w:val="30"/>
          <w:szCs w:val="30"/>
        </w:rPr>
        <w:br w:type="page"/>
      </w:r>
    </w:p>
    <w:p>
      <w:pPr>
        <w:keepNext w:val="0"/>
        <w:keepLines w:val="0"/>
        <w:pageBreakBefore w:val="0"/>
        <w:widowControl/>
        <w:kinsoku/>
        <w:overflowPunct/>
        <w:topLinePunct w:val="0"/>
        <w:bidi w:val="0"/>
        <w:spacing w:before="75" w:after="75" w:line="360" w:lineRule="auto"/>
        <w:jc w:val="center"/>
        <w:textAlignment w:val="auto"/>
        <w:outlineLvl w:val="0"/>
        <w:rPr>
          <w:rFonts w:ascii="宋体" w:hAnsi="宋体" w:eastAsia="宋体" w:cs="宋体"/>
          <w:color w:val="auto"/>
          <w:kern w:val="0"/>
          <w:sz w:val="32"/>
          <w:szCs w:val="32"/>
        </w:rPr>
      </w:pPr>
      <w:r>
        <w:rPr>
          <w:rFonts w:hint="eastAsia" w:ascii="宋体" w:hAnsi="宋体" w:eastAsia="宋体" w:cs="宋体"/>
          <w:b/>
          <w:bCs/>
          <w:color w:val="auto"/>
          <w:kern w:val="0"/>
          <w:sz w:val="32"/>
          <w:szCs w:val="32"/>
        </w:rPr>
        <w:t>第四章</w:t>
      </w:r>
      <w:r>
        <w:rPr>
          <w:rFonts w:hint="eastAsia" w:ascii="宋体" w:hAnsi="宋体" w:eastAsia="宋体" w:cs="宋体"/>
          <w:b/>
          <w:bCs/>
          <w:color w:val="auto"/>
          <w:kern w:val="0"/>
          <w:sz w:val="30"/>
          <w:szCs w:val="30"/>
        </w:rPr>
        <w:t>  </w:t>
      </w:r>
      <w:r>
        <w:rPr>
          <w:rFonts w:hint="eastAsia" w:ascii="宋体" w:hAnsi="宋体" w:eastAsia="宋体" w:cs="宋体"/>
          <w:b/>
          <w:bCs/>
          <w:color w:val="auto"/>
          <w:kern w:val="0"/>
          <w:sz w:val="32"/>
          <w:szCs w:val="32"/>
        </w:rPr>
        <w:t>合同主要条款及格式</w:t>
      </w:r>
    </w:p>
    <w:p>
      <w:pPr>
        <w:keepNext w:val="0"/>
        <w:keepLines w:val="0"/>
        <w:pageBreakBefore w:val="0"/>
        <w:widowControl/>
        <w:kinsoku/>
        <w:overflowPunct/>
        <w:topLinePunct w:val="0"/>
        <w:bidi w:val="0"/>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overflowPunct/>
        <w:topLinePunct w:val="0"/>
        <w:bidi w:val="0"/>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编制说明</w:t>
      </w:r>
    </w:p>
    <w:p>
      <w:pPr>
        <w:keepNext w:val="0"/>
        <w:keepLines w:val="0"/>
        <w:pageBreakBefore w:val="0"/>
        <w:widowControl/>
        <w:kinsoku/>
        <w:overflowPunct/>
        <w:topLinePunct w:val="0"/>
        <w:bidi w:val="0"/>
        <w:spacing w:before="75" w:after="75" w:line="360" w:lineRule="auto"/>
        <w:ind w:firstLine="482" w:firstLineChars="200"/>
        <w:jc w:val="left"/>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1、签订合同应遵守《中华人民共和国政府采购法》、《中华人民共和国民法典》。</w:t>
      </w:r>
    </w:p>
    <w:p>
      <w:pPr>
        <w:keepNext w:val="0"/>
        <w:keepLines w:val="0"/>
        <w:pageBreakBefore w:val="0"/>
        <w:widowControl/>
        <w:kinsoku/>
        <w:overflowPunct/>
        <w:topLinePunct w:val="0"/>
        <w:bidi w:val="0"/>
        <w:spacing w:before="75" w:after="75" w:line="360" w:lineRule="auto"/>
        <w:ind w:firstLine="482" w:firstLineChars="200"/>
        <w:jc w:val="left"/>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2、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keepNext w:val="0"/>
        <w:keepLines w:val="0"/>
        <w:pageBreakBefore w:val="0"/>
        <w:widowControl/>
        <w:kinsoku/>
        <w:overflowPunct/>
        <w:topLinePunct w:val="0"/>
        <w:bidi w:val="0"/>
        <w:spacing w:before="75" w:after="75" w:line="360" w:lineRule="auto"/>
        <w:ind w:firstLine="482" w:firstLineChars="200"/>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3.本章节所附的合同主要条款及格式为参考文本，如果因为项目实际特点不能适用，则可由甲乙双方在合同签订阶段可通过友好协商进行约定。</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甲方：（采购人全称）</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乙方：（成交供应商全称）</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根据项目编号为       的（填写“项目名称”）项目（以下简称：“本项目”）的谈判结果，乙方为成交供应商。现经甲乙双方友好协商，就以下事项达成一致并签订本合同：</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1、下列合同文件是构成本合同不可分割的部分：</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1.1合同条款；</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1.2谈判文件、乙方的响应文件；</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1.3其他文件或材料：□无。□（若有联合协议或分包意向协议）。</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2、合同标的</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（根据实际情况填写，可以是表格或文字描述）。</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3、合同总金额</w:t>
      </w:r>
    </w:p>
    <w:p>
      <w:pPr>
        <w:keepNext w:val="0"/>
        <w:keepLines w:val="0"/>
        <w:pageBreakBefore w:val="0"/>
        <w:widowControl/>
        <w:kinsoku/>
        <w:overflowPunct/>
        <w:topLinePunct w:val="0"/>
        <w:bidi w:val="0"/>
        <w:spacing w:before="75" w:after="75" w:line="360" w:lineRule="auto"/>
        <w:ind w:left="479" w:leftChars="228"/>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3.1合同总金额为人民币大写：              元（￥              ）。</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4、合同标的交付时间、地点和条件</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4.1交付时间：                     ；</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4.2交付地点：                     ；</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4.3交付条件：                     。</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5、合同标的应符合谈判文件、乙方响应文件的规定或约定，具体如下：</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（根据实际情况填写，可以是表格或文字描述）。</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6、验收</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6.1验收应按照谈判文件、乙方响应文件的规定或约定进行，具体如下：</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（根据实际情况填写，可以是表格或文字描述）。</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6.2本项目是否邀请其他供应商参与验收：</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□不邀请。□邀请，具体如下：（按照谈判文件规定填写）。</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7、合同款项的支付应按照谈判文件的规定进行，具体如下：</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（根据实际情况填写，可以是表格或文字描述，包括一次性支付或分期支付等）。</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8、履约保证金</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□无。□有，具体如下：（按照谈判文件规定填写）。</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9、合同有效期</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（根据实际情况填写，可以是表格或文字描述）。</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10、违约责任</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（根据实际情况填写，可以是表格或文字描述）。</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11、知识产权</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11.2若乙方提供的采购标的不符合国家知识产权法律、法规的规定或被有关主管机关认定为假冒伪劣品，则乙方中标资格将被取消；甲方还将按照有关法律、法规和规章的规定进行处理，具体如下：（根据实际情况填写）。</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12、解决争议的方法</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12.1甲、乙双方协商解决。</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12.2若协商解决不成，则通过下列途径之一解决：</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□提交仲裁委员会仲裁，具体如下：（根据实际情况填写）。</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□向人民法院提起诉讼，具体如下：（根据实际情况填写）。</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13、不可抗力</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14、合同条款</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（根据实际情况填写）。</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15、其他约定</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15.1合同文件与本合同具有同等法律效力。</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15.2本合同未尽事宜，双方可另行补充。</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15.3本合同自签订之日起生效。</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15.4本合同一式（填写具体份数）份，经双方授权代表签字并盖章后生效。甲方、乙方各执（填写具体份数）份，送（填写需要备案的监管部门的全称）备案（填写具体份数）份，具有同等效力。</w:t>
      </w:r>
    </w:p>
    <w:p>
      <w:pPr>
        <w:keepNext w:val="0"/>
        <w:keepLines w:val="0"/>
        <w:pageBreakBefore w:val="0"/>
        <w:widowControl/>
        <w:kinsoku/>
        <w:overflowPunct/>
        <w:topLinePunct w:val="0"/>
        <w:bidi w:val="0"/>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15.5其他：□无。□（根据实际情况填写需要增加的内容）。</w:t>
      </w:r>
    </w:p>
    <w:p>
      <w:pPr>
        <w:keepNext w:val="0"/>
        <w:keepLines w:val="0"/>
        <w:pageBreakBefore w:val="0"/>
        <w:widowControl/>
        <w:kinsoku/>
        <w:overflowPunct/>
        <w:topLinePunct w:val="0"/>
        <w:bidi w:val="0"/>
        <w:spacing w:before="75" w:after="75" w:line="360" w:lineRule="auto"/>
        <w:jc w:val="center"/>
        <w:textAlignment w:val="auto"/>
        <w:rPr>
          <w:rFonts w:ascii="宋体" w:hAnsi="宋体" w:eastAsia="宋体" w:cs="宋体"/>
          <w:color w:val="auto"/>
          <w:kern w:val="0"/>
          <w:sz w:val="24"/>
          <w:szCs w:val="24"/>
        </w:rPr>
      </w:pPr>
    </w:p>
    <w:p>
      <w:pPr>
        <w:keepNext w:val="0"/>
        <w:keepLines w:val="0"/>
        <w:pageBreakBefore w:val="0"/>
        <w:widowControl/>
        <w:kinsoku/>
        <w:overflowPunct/>
        <w:topLinePunct w:val="0"/>
        <w:bidi w:val="0"/>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（以下无正文）</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甲方：               乙方：</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住所：               住所：</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单位负责人：            单位负责人：</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委托代理人：            委托代理人：</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联系方法：             联系方法：</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开户银行：             开户银行：</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账号：               账号：</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签订地点：                </w:t>
      </w:r>
    </w:p>
    <w:p>
      <w:pPr>
        <w:keepNext w:val="0"/>
        <w:keepLines w:val="0"/>
        <w:pageBreakBefore w:val="0"/>
        <w:widowControl/>
        <w:kinsoku/>
        <w:overflowPunct/>
        <w:topLinePunct w:val="0"/>
        <w:bidi w:val="0"/>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签订日期：    年   月   日</w:t>
      </w:r>
    </w:p>
    <w:p>
      <w:pPr>
        <w:widowControl/>
        <w:spacing w:before="75" w:after="75" w:line="360" w:lineRule="auto"/>
        <w:jc w:val="left"/>
        <w:rPr>
          <w:rFonts w:ascii="宋体" w:hAnsi="宋体" w:eastAsia="宋体" w:cs="宋体"/>
          <w:color w:val="auto"/>
          <w:kern w:val="0"/>
          <w:sz w:val="24"/>
          <w:szCs w:val="24"/>
        </w:rPr>
      </w:pPr>
    </w:p>
    <w:p>
      <w:pPr>
        <w:widowControl/>
        <w:spacing w:before="75" w:after="240" w:line="360" w:lineRule="auto"/>
        <w:jc w:val="left"/>
        <w:rPr>
          <w:rFonts w:ascii="宋体" w:hAnsi="宋体" w:eastAsia="宋体" w:cs="宋体"/>
          <w:color w:val="auto"/>
          <w:kern w:val="0"/>
          <w:sz w:val="24"/>
          <w:szCs w:val="24"/>
        </w:rPr>
      </w:pPr>
    </w:p>
    <w:p>
      <w:pPr>
        <w:widowControl/>
        <w:spacing w:before="75" w:after="75" w:line="360" w:lineRule="auto"/>
        <w:jc w:val="center"/>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spacing w:line="360" w:lineRule="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br w:type="page"/>
      </w:r>
    </w:p>
    <w:p>
      <w:pPr>
        <w:keepNext w:val="0"/>
        <w:keepLines w:val="0"/>
        <w:pageBreakBefore w:val="0"/>
        <w:widowControl/>
        <w:kinsoku/>
        <w:wordWrap/>
        <w:overflowPunct/>
        <w:topLinePunct w:val="0"/>
        <w:bidi w:val="0"/>
        <w:snapToGrid/>
        <w:spacing w:before="75" w:after="75" w:line="360" w:lineRule="auto"/>
        <w:jc w:val="center"/>
        <w:textAlignment w:val="auto"/>
        <w:outlineLvl w:val="0"/>
        <w:rPr>
          <w:rFonts w:ascii="宋体" w:hAnsi="宋体" w:eastAsia="宋体" w:cs="宋体"/>
          <w:color w:val="auto"/>
          <w:kern w:val="0"/>
          <w:sz w:val="32"/>
          <w:szCs w:val="32"/>
        </w:rPr>
      </w:pPr>
      <w:r>
        <w:rPr>
          <w:rFonts w:hint="eastAsia" w:ascii="宋体" w:hAnsi="宋体" w:eastAsia="宋体" w:cs="宋体"/>
          <w:b/>
          <w:bCs/>
          <w:color w:val="auto"/>
          <w:kern w:val="0"/>
          <w:sz w:val="32"/>
          <w:szCs w:val="32"/>
        </w:rPr>
        <w:t>第五章  首次响应文件格式</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color w:val="auto"/>
          <w:kern w:val="0"/>
          <w:sz w:val="24"/>
          <w:szCs w:val="24"/>
        </w:rPr>
      </w:pPr>
      <w:r>
        <w:rPr>
          <w:rFonts w:hint="eastAsia" w:ascii="宋体" w:hAnsi="宋体" w:eastAsia="宋体" w:cs="宋体"/>
          <w:b/>
          <w:bCs/>
          <w:color w:val="auto"/>
          <w:kern w:val="0"/>
          <w:sz w:val="24"/>
          <w:szCs w:val="24"/>
        </w:rPr>
        <w:t>编制说明</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2、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30"/>
          <w:szCs w:val="30"/>
        </w:rPr>
      </w:pPr>
      <w:r>
        <w:rPr>
          <w:rFonts w:hint="eastAsia" w:ascii="宋体" w:hAnsi="宋体" w:eastAsia="宋体" w:cs="宋体"/>
          <w:b/>
          <w:bCs/>
          <w:color w:val="auto"/>
          <w:kern w:val="0"/>
          <w:sz w:val="30"/>
          <w:szCs w:val="30"/>
        </w:rPr>
        <w:t>竞争性谈判</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30"/>
          <w:szCs w:val="30"/>
        </w:rPr>
      </w:pPr>
      <w:r>
        <w:rPr>
          <w:rFonts w:hint="eastAsia" w:ascii="宋体" w:hAnsi="宋体" w:eastAsia="宋体" w:cs="宋体"/>
          <w:b/>
          <w:bCs/>
          <w:color w:val="auto"/>
          <w:kern w:val="0"/>
          <w:sz w:val="30"/>
          <w:szCs w:val="30"/>
        </w:rPr>
        <w:t>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color w:val="auto"/>
          <w:kern w:val="0"/>
          <w:sz w:val="30"/>
          <w:szCs w:val="30"/>
        </w:rPr>
      </w:pPr>
      <w:r>
        <w:rPr>
          <w:rFonts w:hint="eastAsia" w:ascii="宋体" w:hAnsi="宋体" w:eastAsia="宋体" w:cs="宋体"/>
          <w:b/>
          <w:bCs/>
          <w:color w:val="auto"/>
          <w:kern w:val="0"/>
          <w:sz w:val="30"/>
          <w:szCs w:val="30"/>
        </w:rPr>
        <w:t>响应文件</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30"/>
          <w:szCs w:val="30"/>
        </w:rPr>
      </w:pPr>
      <w:r>
        <w:rPr>
          <w:rFonts w:hint="eastAsia" w:ascii="宋体" w:hAnsi="宋体" w:eastAsia="宋体" w:cs="宋体"/>
          <w:b/>
          <w:bCs/>
          <w:color w:val="auto"/>
          <w:kern w:val="0"/>
          <w:sz w:val="30"/>
          <w:szCs w:val="30"/>
        </w:rPr>
        <w:t>（首次）</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30"/>
          <w:szCs w:val="30"/>
        </w:rPr>
      </w:pPr>
      <w:r>
        <w:rPr>
          <w:rFonts w:hint="eastAsia" w:ascii="宋体" w:hAnsi="宋体" w:eastAsia="宋体" w:cs="宋体"/>
          <w:color w:val="auto"/>
          <w:kern w:val="0"/>
          <w:sz w:val="30"/>
          <w:szCs w:val="30"/>
        </w:rPr>
        <w:t> </w:t>
      </w:r>
    </w:p>
    <w:p>
      <w:pPr>
        <w:keepNext w:val="0"/>
        <w:keepLines w:val="0"/>
        <w:pageBreakBefore w:val="0"/>
        <w:widowControl/>
        <w:kinsoku/>
        <w:wordWrap/>
        <w:overflowPunct/>
        <w:topLinePunct w:val="0"/>
        <w:bidi w:val="0"/>
        <w:snapToGrid/>
        <w:spacing w:before="75" w:after="75" w:line="360" w:lineRule="auto"/>
        <w:ind w:firstLine="1260"/>
        <w:jc w:val="left"/>
        <w:textAlignment w:val="auto"/>
        <w:rPr>
          <w:rFonts w:ascii="宋体" w:hAnsi="宋体" w:eastAsia="宋体" w:cs="宋体"/>
          <w:color w:val="auto"/>
          <w:kern w:val="0"/>
          <w:sz w:val="30"/>
          <w:szCs w:val="30"/>
        </w:rPr>
      </w:pPr>
      <w:r>
        <w:rPr>
          <w:rFonts w:hint="eastAsia" w:ascii="宋体" w:hAnsi="宋体" w:eastAsia="宋体" w:cs="宋体"/>
          <w:b/>
          <w:bCs/>
          <w:color w:val="auto"/>
          <w:kern w:val="0"/>
          <w:sz w:val="30"/>
          <w:szCs w:val="30"/>
        </w:rPr>
        <w:t>项目名称：               </w:t>
      </w:r>
    </w:p>
    <w:p>
      <w:pPr>
        <w:keepNext w:val="0"/>
        <w:keepLines w:val="0"/>
        <w:pageBreakBefore w:val="0"/>
        <w:widowControl/>
        <w:kinsoku/>
        <w:wordWrap/>
        <w:overflowPunct/>
        <w:topLinePunct w:val="0"/>
        <w:bidi w:val="0"/>
        <w:snapToGrid/>
        <w:spacing w:before="75" w:after="75" w:line="360" w:lineRule="auto"/>
        <w:ind w:firstLine="1260"/>
        <w:jc w:val="left"/>
        <w:textAlignment w:val="auto"/>
        <w:rPr>
          <w:rFonts w:ascii="宋体" w:hAnsi="宋体" w:eastAsia="宋体" w:cs="宋体"/>
          <w:color w:val="auto"/>
          <w:kern w:val="0"/>
          <w:sz w:val="30"/>
          <w:szCs w:val="30"/>
        </w:rPr>
      </w:pPr>
      <w:r>
        <w:rPr>
          <w:rFonts w:hint="eastAsia" w:ascii="宋体" w:hAnsi="宋体" w:eastAsia="宋体" w:cs="宋体"/>
          <w:b/>
          <w:bCs/>
          <w:color w:val="auto"/>
          <w:kern w:val="0"/>
          <w:sz w:val="30"/>
          <w:szCs w:val="30"/>
        </w:rPr>
        <w:t>项目编号：               </w:t>
      </w:r>
    </w:p>
    <w:p>
      <w:pPr>
        <w:keepNext w:val="0"/>
        <w:keepLines w:val="0"/>
        <w:pageBreakBefore w:val="0"/>
        <w:widowControl/>
        <w:kinsoku/>
        <w:wordWrap/>
        <w:overflowPunct/>
        <w:topLinePunct w:val="0"/>
        <w:bidi w:val="0"/>
        <w:snapToGrid/>
        <w:spacing w:before="75" w:after="75" w:line="360" w:lineRule="auto"/>
        <w:ind w:firstLine="1260"/>
        <w:jc w:val="left"/>
        <w:textAlignment w:val="auto"/>
        <w:rPr>
          <w:rFonts w:ascii="宋体" w:hAnsi="宋体" w:eastAsia="宋体" w:cs="宋体"/>
          <w:color w:val="auto"/>
          <w:kern w:val="0"/>
          <w:sz w:val="30"/>
          <w:szCs w:val="30"/>
        </w:rPr>
      </w:pPr>
      <w:r>
        <w:rPr>
          <w:rFonts w:hint="eastAsia" w:ascii="宋体" w:hAnsi="宋体" w:eastAsia="宋体" w:cs="宋体"/>
          <w:b/>
          <w:bCs/>
          <w:color w:val="auto"/>
          <w:kern w:val="0"/>
          <w:sz w:val="30"/>
          <w:szCs w:val="30"/>
        </w:rPr>
        <w:t>合同包: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30"/>
          <w:szCs w:val="30"/>
        </w:rPr>
      </w:pPr>
      <w:r>
        <w:rPr>
          <w:rFonts w:hint="eastAsia" w:ascii="宋体" w:hAnsi="宋体" w:eastAsia="宋体" w:cs="宋体"/>
          <w:b/>
          <w:bCs/>
          <w:color w:val="auto"/>
          <w:kern w:val="0"/>
          <w:sz w:val="30"/>
          <w:szCs w:val="30"/>
        </w:rPr>
        <w:t>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30"/>
          <w:szCs w:val="30"/>
        </w:rPr>
      </w:pPr>
      <w:r>
        <w:rPr>
          <w:rFonts w:hint="eastAsia" w:ascii="宋体" w:hAnsi="宋体" w:eastAsia="宋体" w:cs="宋体"/>
          <w:b/>
          <w:bCs/>
          <w:color w:val="auto"/>
          <w:kern w:val="0"/>
          <w:sz w:val="30"/>
          <w:szCs w:val="30"/>
        </w:rPr>
        <w:t>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30"/>
          <w:szCs w:val="30"/>
        </w:rPr>
      </w:pPr>
      <w:r>
        <w:rPr>
          <w:rFonts w:hint="eastAsia" w:ascii="宋体" w:hAnsi="宋体" w:eastAsia="宋体" w:cs="宋体"/>
          <w:b/>
          <w:bCs/>
          <w:color w:val="auto"/>
          <w:kern w:val="0"/>
          <w:sz w:val="30"/>
          <w:szCs w:val="30"/>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30"/>
          <w:szCs w:val="30"/>
        </w:rPr>
      </w:pPr>
      <w:r>
        <w:rPr>
          <w:rFonts w:hint="eastAsia" w:ascii="宋体" w:hAnsi="宋体" w:eastAsia="宋体" w:cs="宋体"/>
          <w:b/>
          <w:bCs/>
          <w:color w:val="auto"/>
          <w:kern w:val="0"/>
          <w:sz w:val="30"/>
          <w:szCs w:val="30"/>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30"/>
          <w:szCs w:val="30"/>
        </w:rPr>
      </w:pPr>
      <w:r>
        <w:rPr>
          <w:rFonts w:hint="eastAsia" w:ascii="宋体" w:hAnsi="宋体" w:eastAsia="宋体" w:cs="宋体"/>
          <w:b/>
          <w:bCs/>
          <w:color w:val="auto"/>
          <w:kern w:val="0"/>
          <w:sz w:val="30"/>
          <w:szCs w:val="30"/>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30"/>
          <w:szCs w:val="30"/>
        </w:rPr>
      </w:pPr>
      <w:r>
        <w:rPr>
          <w:rFonts w:hint="eastAsia" w:ascii="宋体" w:hAnsi="宋体" w:eastAsia="宋体" w:cs="宋体"/>
          <w:b/>
          <w:bCs/>
          <w:color w:val="auto"/>
          <w:kern w:val="0"/>
          <w:sz w:val="30"/>
          <w:szCs w:val="30"/>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30"/>
          <w:szCs w:val="30"/>
        </w:rPr>
      </w:pPr>
      <w:r>
        <w:rPr>
          <w:rFonts w:hint="eastAsia" w:ascii="宋体" w:hAnsi="宋体" w:eastAsia="宋体" w:cs="宋体"/>
          <w:b/>
          <w:bCs/>
          <w:color w:val="auto"/>
          <w:kern w:val="0"/>
          <w:sz w:val="30"/>
          <w:szCs w:val="30"/>
        </w:rPr>
        <w:t>      供应商名称 ：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30"/>
          <w:szCs w:val="30"/>
        </w:rPr>
        <w:t>      日    期 ： </w:t>
      </w: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br w:type="textWrapping"/>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b/>
          <w:bCs/>
          <w:color w:val="auto"/>
          <w:kern w:val="0"/>
          <w:sz w:val="24"/>
          <w:szCs w:val="24"/>
        </w:rPr>
      </w:pPr>
    </w:p>
    <w:p>
      <w:pPr>
        <w:keepNext w:val="0"/>
        <w:keepLines w:val="0"/>
        <w:pageBreakBefore w:val="0"/>
        <w:kinsoku/>
        <w:wordWrap/>
        <w:overflowPunct/>
        <w:topLinePunct w:val="0"/>
        <w:bidi w:val="0"/>
        <w:snapToGrid/>
        <w:spacing w:line="360" w:lineRule="auto"/>
        <w:jc w:val="center"/>
        <w:textAlignment w:val="auto"/>
        <w:rPr>
          <w:rFonts w:ascii="宋体" w:hAnsi="宋体" w:eastAsia="宋体" w:cs="宋体"/>
          <w:color w:val="auto"/>
          <w:kern w:val="0"/>
          <w:sz w:val="28"/>
          <w:szCs w:val="28"/>
        </w:rPr>
      </w:pPr>
      <w:r>
        <w:rPr>
          <w:rFonts w:hint="eastAsia" w:ascii="宋体" w:hAnsi="宋体" w:eastAsia="宋体" w:cs="宋体"/>
          <w:b/>
          <w:bCs/>
          <w:color w:val="auto"/>
          <w:kern w:val="0"/>
          <w:sz w:val="28"/>
          <w:szCs w:val="28"/>
        </w:rPr>
        <w:t>目  录</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附件1：谈判响应声明</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附件2：报价一览表（含详细报价书）</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附件3：资格证明文件</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附件</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：技术、服务和商务响应表</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附件</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：相关技术、商务、服务响应承诺及资料</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附件</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：供应商提交符合政府采购政策的证明材料</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附件</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：要求作为响应文件组成部分的其他内容（若有）</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br w:type="textWrapping"/>
      </w:r>
    </w:p>
    <w:p>
      <w:pPr>
        <w:keepNext w:val="0"/>
        <w:keepLines w:val="0"/>
        <w:pageBreakBefore w:val="0"/>
        <w:kinsoku/>
        <w:wordWrap/>
        <w:overflowPunct/>
        <w:topLinePunct w:val="0"/>
        <w:bidi w:val="0"/>
        <w:snapToGrid/>
        <w:spacing w:line="360" w:lineRule="auto"/>
        <w:textAlignment w:val="auto"/>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color w:val="auto"/>
          <w:kern w:val="0"/>
          <w:sz w:val="24"/>
          <w:szCs w:val="24"/>
        </w:rPr>
      </w:pPr>
      <w:r>
        <w:rPr>
          <w:rFonts w:hint="eastAsia" w:ascii="宋体" w:hAnsi="宋体" w:eastAsia="宋体" w:cs="宋体"/>
          <w:color w:val="auto"/>
          <w:kern w:val="0"/>
          <w:sz w:val="24"/>
          <w:szCs w:val="24"/>
        </w:rPr>
        <w:t>附件1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color w:val="auto"/>
          <w:kern w:val="0"/>
          <w:sz w:val="28"/>
          <w:szCs w:val="28"/>
        </w:rPr>
      </w:pPr>
      <w:r>
        <w:rPr>
          <w:rFonts w:hint="eastAsia" w:ascii="宋体" w:hAnsi="宋体" w:eastAsia="宋体" w:cs="宋体"/>
          <w:b/>
          <w:bCs/>
          <w:color w:val="auto"/>
          <w:kern w:val="0"/>
          <w:sz w:val="28"/>
          <w:szCs w:val="28"/>
        </w:rPr>
        <w:t>谈判响应声明</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1.根据贵方为   项目（项目编号:   ）的采购公告（或采购邀请书），我方签字代表    （全名、职务）   经正式授权并代表的供应商       （供应商名称、地址）提交包含下述内容的首次响应文件纸质文本正本   套，副本  套及电子文档  套。</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（1）谈判响应声明</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（2）报价一览表（含详细报价书）</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（3）资格证明文件</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）技术、服务和商务响应表</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）相关技术、商务、服务响应承诺及资料</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）供应商提交符合政府采购政策的证明材料</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）按照谈判文件规定，要求作为响应文件组成部分的其他内容（若有）</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2.据此函，我方宣布响应承诺如下：</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我方愿意向贵方提供任何与本项目谈判采购有关的数据或资料。若贵方需要，我方愿意提供我方作出的一切承诺的证明材料。</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2"/>
        <w:keepNext w:val="0"/>
        <w:keepLines w:val="0"/>
        <w:pageBreakBefore w:val="0"/>
        <w:kinsoku/>
        <w:wordWrap/>
        <w:overflowPunct/>
        <w:topLinePunct w:val="0"/>
        <w:bidi w:val="0"/>
        <w:snapToGrid/>
        <w:spacing w:line="360" w:lineRule="auto"/>
        <w:textAlignment w:val="auto"/>
        <w:rPr>
          <w:color w:val="auto"/>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通信地址：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邮编：            传真号：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联系电话（固定电话和移动电话）：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供应商代表电子信箱：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         （全称并加盖公章）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textAlignment w:val="auto"/>
        <w:outlineLvl w:val="1"/>
        <w:rPr>
          <w:rFonts w:ascii="宋体" w:hAnsi="宋体" w:eastAsia="宋体" w:cs="宋体"/>
          <w:color w:val="auto"/>
          <w:kern w:val="0"/>
          <w:sz w:val="29"/>
          <w:szCs w:val="29"/>
        </w:rPr>
      </w:pPr>
      <w:r>
        <w:rPr>
          <w:rFonts w:hint="eastAsia" w:ascii="宋体" w:hAnsi="宋体" w:eastAsia="宋体" w:cs="宋体"/>
          <w:color w:val="auto"/>
          <w:kern w:val="0"/>
          <w:sz w:val="24"/>
          <w:szCs w:val="24"/>
        </w:rPr>
        <w:t>附件2</w:t>
      </w:r>
      <w:r>
        <w:rPr>
          <w:rFonts w:hint="eastAsia" w:ascii="宋体" w:hAnsi="宋体" w:eastAsia="宋体" w:cs="宋体"/>
          <w:color w:val="auto"/>
          <w:kern w:val="0"/>
          <w:sz w:val="29"/>
          <w:szCs w:val="29"/>
        </w:rPr>
        <w:t>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hint="eastAsia" w:ascii="宋体" w:hAnsi="宋体" w:eastAsia="宋体" w:cs="宋体"/>
          <w:b/>
          <w:bCs/>
          <w:color w:val="auto"/>
          <w:kern w:val="0"/>
          <w:sz w:val="28"/>
          <w:szCs w:val="28"/>
        </w:rPr>
      </w:pP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hint="eastAsia" w:ascii="宋体" w:hAnsi="宋体" w:eastAsia="宋体" w:cs="宋体"/>
          <w:b/>
          <w:bCs/>
          <w:color w:val="auto"/>
          <w:kern w:val="0"/>
          <w:sz w:val="28"/>
          <w:szCs w:val="28"/>
        </w:rPr>
      </w:pP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hint="eastAsia" w:ascii="宋体" w:hAnsi="宋体" w:eastAsia="宋体" w:cs="宋体"/>
          <w:b/>
          <w:bCs/>
          <w:color w:val="auto"/>
          <w:kern w:val="0"/>
          <w:sz w:val="28"/>
          <w:szCs w:val="28"/>
        </w:rPr>
      </w:pP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color w:val="auto"/>
          <w:kern w:val="0"/>
          <w:sz w:val="24"/>
          <w:szCs w:val="24"/>
        </w:rPr>
      </w:pPr>
      <w:r>
        <w:rPr>
          <w:rFonts w:hint="eastAsia" w:ascii="宋体" w:hAnsi="宋体" w:eastAsia="宋体" w:cs="宋体"/>
          <w:b/>
          <w:bCs/>
          <w:color w:val="auto"/>
          <w:kern w:val="0"/>
          <w:sz w:val="28"/>
          <w:szCs w:val="28"/>
        </w:rPr>
        <w:t>报价一览表</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供应商名称：（全称加盖单位公章）</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项目编号∶     货币单位：元人民币</w:t>
      </w:r>
    </w:p>
    <w:tbl>
      <w:tblPr>
        <w:tblStyle w:val="10"/>
        <w:tblW w:w="8169"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65"/>
        <w:gridCol w:w="3696"/>
        <w:gridCol w:w="2308"/>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合同包</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首次报价</w:t>
            </w:r>
          </w:p>
        </w:tc>
        <w:tc>
          <w:tcPr>
            <w:tcW w:w="22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交货期/工期/项目完成时间/服务时间</w:t>
            </w:r>
          </w:p>
        </w:tc>
        <w:tc>
          <w:tcPr>
            <w:tcW w:w="105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2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05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2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05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2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05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2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05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5" w:hRule="atLeast"/>
          <w:tblCellSpacing w:w="15" w:type="dxa"/>
        </w:trPr>
        <w:tc>
          <w:tcPr>
            <w:tcW w:w="102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366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2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05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bl>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备注：详细报价书另纸详列，格式自拟。</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righ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36"/>
          <w:szCs w:val="36"/>
        </w:rPr>
      </w:pPr>
      <w:r>
        <w:rPr>
          <w:rFonts w:hint="eastAsia" w:ascii="宋体" w:hAnsi="宋体" w:eastAsia="宋体" w:cs="宋体"/>
          <w:color w:val="auto"/>
          <w:kern w:val="0"/>
          <w:sz w:val="24"/>
          <w:szCs w:val="24"/>
        </w:rPr>
        <w:t>附件2-1       </w:t>
      </w:r>
      <w:r>
        <w:rPr>
          <w:rFonts w:hint="eastAsia" w:ascii="宋体" w:hAnsi="宋体" w:eastAsia="宋体" w:cs="宋体"/>
          <w:color w:val="auto"/>
          <w:kern w:val="0"/>
          <w:sz w:val="36"/>
          <w:szCs w:val="36"/>
        </w:rPr>
        <w:t>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b/>
          <w:bCs/>
          <w:color w:val="auto"/>
          <w:kern w:val="0"/>
          <w:sz w:val="28"/>
          <w:szCs w:val="28"/>
        </w:rPr>
        <w:t>详细报价书</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说明：</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各供应商应根据竞争性谈判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color w:val="auto"/>
          <w:kern w:val="0"/>
          <w:sz w:val="24"/>
          <w:szCs w:val="24"/>
        </w:rPr>
      </w:pPr>
      <w:r>
        <w:rPr>
          <w:rFonts w:hint="eastAsia" w:ascii="宋体" w:hAnsi="宋体" w:eastAsia="宋体" w:cs="宋体"/>
          <w:color w:val="auto"/>
          <w:kern w:val="0"/>
          <w:sz w:val="24"/>
          <w:szCs w:val="24"/>
        </w:rPr>
        <w:t>附件3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color w:val="auto"/>
          <w:kern w:val="0"/>
          <w:sz w:val="24"/>
          <w:szCs w:val="24"/>
        </w:rPr>
      </w:pPr>
      <w:r>
        <w:rPr>
          <w:rFonts w:hint="eastAsia" w:ascii="宋体" w:hAnsi="宋体" w:eastAsia="宋体" w:cs="宋体"/>
          <w:b/>
          <w:bCs/>
          <w:color w:val="auto"/>
          <w:kern w:val="0"/>
          <w:sz w:val="28"/>
          <w:szCs w:val="28"/>
        </w:rPr>
        <w:t>资格证明文件</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附件3-1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b/>
          <w:bCs/>
          <w:color w:val="auto"/>
          <w:kern w:val="0"/>
          <w:sz w:val="28"/>
          <w:szCs w:val="28"/>
        </w:rPr>
        <w:t>参加竞争性谈判的声明函</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1、关于贵方______年______月______日      项目（项目编号:       ）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numPr>
          <w:ilvl w:val="0"/>
          <w:numId w:val="8"/>
        </w:numPr>
        <w:kinsoku/>
        <w:wordWrap/>
        <w:overflowPunct/>
        <w:topLinePunct w:val="0"/>
        <w:bidi w:val="0"/>
        <w:snapToGrid/>
        <w:spacing w:before="75" w:after="75" w:line="360" w:lineRule="auto"/>
        <w:ind w:left="479" w:leftChars="228"/>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供应商的基本概况：</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2.1供应商单位名称：             </w:t>
      </w:r>
    </w:p>
    <w:p>
      <w:pPr>
        <w:keepNext w:val="0"/>
        <w:keepLines w:val="0"/>
        <w:pageBreakBefore w:val="0"/>
        <w:widowControl/>
        <w:kinsoku/>
        <w:wordWrap/>
        <w:overflowPunct/>
        <w:topLinePunct w:val="0"/>
        <w:bidi w:val="0"/>
        <w:snapToGrid/>
        <w:spacing w:before="75" w:after="75" w:line="360" w:lineRule="auto"/>
        <w:ind w:left="479" w:leftChars="228"/>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2.2注册地址：            </w:t>
      </w:r>
    </w:p>
    <w:p>
      <w:pPr>
        <w:keepNext w:val="0"/>
        <w:keepLines w:val="0"/>
        <w:pageBreakBefore w:val="0"/>
        <w:widowControl/>
        <w:kinsoku/>
        <w:wordWrap/>
        <w:overflowPunct/>
        <w:topLinePunct w:val="0"/>
        <w:bidi w:val="0"/>
        <w:snapToGrid/>
        <w:spacing w:before="75" w:after="75" w:line="360" w:lineRule="auto"/>
        <w:ind w:left="479" w:leftChars="228"/>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2.3单位负责人姓名：    性别：  年龄：   职务：      。</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备注：“单位负责人”指单位法定代表人（供应商为法人的）或法律、法规规定代表单位行使职权的主要负责人（供应商为其他组织的）。</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对于接受联合体形式的谈判且供应商是联合体的，则联合体各成员都应当提交本资格证明文件。</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附件3-2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color w:val="auto"/>
          <w:kern w:val="0"/>
          <w:sz w:val="24"/>
          <w:szCs w:val="24"/>
        </w:rPr>
      </w:pPr>
      <w:r>
        <w:rPr>
          <w:rFonts w:hint="eastAsia" w:ascii="宋体" w:hAnsi="宋体" w:eastAsia="宋体" w:cs="宋体"/>
          <w:b/>
          <w:bCs/>
          <w:color w:val="auto"/>
          <w:kern w:val="0"/>
          <w:sz w:val="28"/>
          <w:szCs w:val="28"/>
        </w:rPr>
        <w:t>供应商的资格声明</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致：(采购人或采购代理机构)       </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1、我方已知晓竞争性谈判文件要求并认真审核自身情况，在此郑重声明，我方具备并满足下列各项条款的规定。本声明如有虚假或不实之处，我方将失去合格供应商资格。</w:t>
      </w:r>
    </w:p>
    <w:tbl>
      <w:tblPr>
        <w:tblStyle w:val="10"/>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《中华人民共和国政府采购法》第二十二条对供应商的要求</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（1）具有独立承担民事责任的能力</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（2）具有良好的商业信誉和健全的财务会计制度</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（3）具有履行合同所必需的设备和专业技术能力</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（4）有依法缴纳税收和社会保障资金的良好记录</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（5）参加政府采购活动前三年内，在经营活动中没有重大违法记录</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（6）法律、行政法规规定的其他条件。</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谈判文件对合格供应商的一般规定</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bl>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2、我方对上述声明的真实性、合法性、准确性、有效性负责，并愿意根据谈判文件和谈判过程中贵方要求提供全部现有资料、数据、文件等予以证实。</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备注：对于接受联合体形式的谈判且供应商是联合体的，则联合体各成员都应当提交本资格证明文件。</w:t>
      </w:r>
    </w:p>
    <w:p>
      <w:pPr>
        <w:pStyle w:val="2"/>
        <w:keepNext w:val="0"/>
        <w:keepLines w:val="0"/>
        <w:pageBreakBefore w:val="0"/>
        <w:kinsoku/>
        <w:wordWrap/>
        <w:overflowPunct/>
        <w:topLinePunct w:val="0"/>
        <w:bidi w:val="0"/>
        <w:snapToGrid/>
        <w:spacing w:line="360" w:lineRule="auto"/>
        <w:textAlignment w:val="auto"/>
        <w:rPr>
          <w:rFonts w:ascii="宋体" w:hAnsi="宋体" w:cs="宋体"/>
          <w:color w:val="auto"/>
        </w:rPr>
      </w:pPr>
    </w:p>
    <w:p>
      <w:pPr>
        <w:pStyle w:val="2"/>
        <w:keepNext w:val="0"/>
        <w:keepLines w:val="0"/>
        <w:pageBreakBefore w:val="0"/>
        <w:kinsoku/>
        <w:wordWrap/>
        <w:overflowPunct/>
        <w:topLinePunct w:val="0"/>
        <w:bidi w:val="0"/>
        <w:snapToGrid/>
        <w:spacing w:line="360" w:lineRule="auto"/>
        <w:textAlignment w:val="auto"/>
        <w:rPr>
          <w:rFonts w:ascii="宋体" w:hAnsi="宋体" w:cs="宋体"/>
          <w:color w:val="auto"/>
        </w:rPr>
      </w:pPr>
    </w:p>
    <w:p>
      <w:pPr>
        <w:pStyle w:val="2"/>
        <w:keepNext w:val="0"/>
        <w:keepLines w:val="0"/>
        <w:pageBreakBefore w:val="0"/>
        <w:kinsoku/>
        <w:wordWrap/>
        <w:overflowPunct/>
        <w:topLinePunct w:val="0"/>
        <w:bidi w:val="0"/>
        <w:snapToGrid/>
        <w:spacing w:line="360" w:lineRule="auto"/>
        <w:textAlignment w:val="auto"/>
        <w:rPr>
          <w:rFonts w:ascii="宋体" w:hAnsi="宋体" w:cs="宋体"/>
          <w:color w:val="auto"/>
        </w:rPr>
      </w:pPr>
    </w:p>
    <w:p>
      <w:pPr>
        <w:pStyle w:val="2"/>
        <w:keepNext w:val="0"/>
        <w:keepLines w:val="0"/>
        <w:pageBreakBefore w:val="0"/>
        <w:kinsoku/>
        <w:wordWrap/>
        <w:overflowPunct/>
        <w:topLinePunct w:val="0"/>
        <w:bidi w:val="0"/>
        <w:snapToGrid/>
        <w:spacing w:line="360" w:lineRule="auto"/>
        <w:textAlignment w:val="auto"/>
        <w:rPr>
          <w:rFonts w:ascii="宋体" w:hAnsi="宋体" w:cs="宋体"/>
          <w:color w:val="auto"/>
        </w:rPr>
      </w:pP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p>
    <w:p>
      <w:pPr>
        <w:keepNext w:val="0"/>
        <w:keepLines w:val="0"/>
        <w:pageBreakBefore w:val="0"/>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color w:val="auto"/>
          <w:kern w:val="0"/>
          <w:sz w:val="24"/>
          <w:szCs w:val="24"/>
        </w:rPr>
      </w:pPr>
      <w:r>
        <w:rPr>
          <w:rFonts w:hint="eastAsia" w:ascii="宋体" w:hAnsi="宋体" w:eastAsia="宋体" w:cs="宋体"/>
          <w:color w:val="auto"/>
          <w:kern w:val="0"/>
          <w:sz w:val="24"/>
          <w:szCs w:val="24"/>
        </w:rPr>
        <w:t>附件3-3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color w:val="auto"/>
          <w:kern w:val="0"/>
          <w:sz w:val="28"/>
          <w:szCs w:val="28"/>
        </w:rPr>
      </w:pPr>
      <w:r>
        <w:rPr>
          <w:rFonts w:hint="eastAsia" w:ascii="宋体" w:hAnsi="宋体" w:eastAsia="宋体" w:cs="宋体"/>
          <w:b/>
          <w:bCs/>
          <w:color w:val="auto"/>
          <w:kern w:val="0"/>
          <w:sz w:val="28"/>
          <w:szCs w:val="28"/>
        </w:rPr>
        <w:t>单位负责人授权书</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我方的单位负责人（填写“单位负责人全名”）授权（填写“供应商代表全名”）为我方的供应商代表，代表我方参加  （填写“项目名称”）   项目（项目编号：         ）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供应商代表无转委权。特此授权。</w:t>
      </w:r>
    </w:p>
    <w:p>
      <w:pPr>
        <w:pStyle w:val="2"/>
        <w:keepNext w:val="0"/>
        <w:keepLines w:val="0"/>
        <w:pageBreakBefore w:val="0"/>
        <w:kinsoku/>
        <w:wordWrap/>
        <w:overflowPunct/>
        <w:topLinePunct w:val="0"/>
        <w:bidi w:val="0"/>
        <w:snapToGrid/>
        <w:spacing w:line="360" w:lineRule="auto"/>
        <w:ind w:firstLine="960"/>
        <w:textAlignment w:val="auto"/>
        <w:rPr>
          <w:color w:val="auto"/>
        </w:rPr>
      </w:pP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（以下无正文）</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单位负责人：         身份证号：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手机：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供应商代表：         身份证号：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手机：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授权方</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供应商：（全称并加盖单位公章）</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单位负责人签字或盖章：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接受授权方</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供应商代表签字：</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签署日期：    年   月   日</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right"/>
        <w:textAlignment w:val="auto"/>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附：单位负责人、供应商代表的身份证正反面复印件</w:t>
      </w:r>
    </w:p>
    <w:tbl>
      <w:tblPr>
        <w:tblStyle w:val="10"/>
        <w:tblW w:w="856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要求：真实、有效、清晰</w:t>
            </w:r>
          </w:p>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tc>
      </w:tr>
    </w:tbl>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★注意：</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1、企业（银行、保险、石油石化、电力、电信等行业除外）、事业单位和社会团体法人的“单位负责人”指</w:t>
      </w:r>
      <w:r>
        <w:rPr>
          <w:rFonts w:hint="eastAsia" w:ascii="宋体" w:hAnsi="宋体" w:eastAsia="宋体" w:cs="宋体"/>
          <w:b/>
          <w:bCs/>
          <w:color w:val="auto"/>
          <w:kern w:val="0"/>
          <w:sz w:val="24"/>
          <w:szCs w:val="24"/>
        </w:rPr>
        <w:t>法定代表人</w:t>
      </w:r>
      <w:r>
        <w:rPr>
          <w:rFonts w:hint="eastAsia" w:ascii="宋体" w:hAnsi="宋体" w:eastAsia="宋体" w:cs="宋体"/>
          <w:color w:val="auto"/>
          <w:kern w:val="0"/>
          <w:sz w:val="24"/>
          <w:szCs w:val="24"/>
        </w:rPr>
        <w:t>，即与实际提交的“营业执照等证明文件”载明的一致。</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2、银行、保险、石油石化、电力、电信等行业：以法人身份参加谈判的，“单位负责人”指</w:t>
      </w:r>
      <w:r>
        <w:rPr>
          <w:rFonts w:hint="eastAsia" w:ascii="宋体" w:hAnsi="宋体" w:eastAsia="宋体" w:cs="宋体"/>
          <w:b/>
          <w:bCs/>
          <w:color w:val="auto"/>
          <w:kern w:val="0"/>
          <w:sz w:val="24"/>
          <w:szCs w:val="24"/>
        </w:rPr>
        <w:t>法定代表人</w:t>
      </w:r>
      <w:r>
        <w:rPr>
          <w:rFonts w:hint="eastAsia" w:ascii="宋体" w:hAnsi="宋体" w:eastAsia="宋体" w:cs="宋体"/>
          <w:color w:val="auto"/>
          <w:kern w:val="0"/>
          <w:sz w:val="24"/>
          <w:szCs w:val="24"/>
        </w:rPr>
        <w:t>，即与实际提交的“营业执照等证明文件”载明的一致；以非法人身份参加谈判的，“单位负责人”指</w:t>
      </w:r>
      <w:r>
        <w:rPr>
          <w:rFonts w:hint="eastAsia" w:ascii="宋体" w:hAnsi="宋体" w:eastAsia="宋体" w:cs="宋体"/>
          <w:b/>
          <w:bCs/>
          <w:color w:val="auto"/>
          <w:kern w:val="0"/>
          <w:sz w:val="24"/>
          <w:szCs w:val="24"/>
        </w:rPr>
        <w:t>代表单位行使职权的主要负责人</w:t>
      </w:r>
      <w:r>
        <w:rPr>
          <w:rFonts w:hint="eastAsia" w:ascii="宋体" w:hAnsi="宋体" w:eastAsia="宋体" w:cs="宋体"/>
          <w:color w:val="auto"/>
          <w:kern w:val="0"/>
          <w:sz w:val="24"/>
          <w:szCs w:val="24"/>
        </w:rPr>
        <w:t>，即与实际提交的“营业执照等证明文件”载明的一致。</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4、对于接受联合体形式的谈判且供应商是联合体的，则只需要联合体的牵头方提交本授权书，在纸质响应文件正本中的本授权书应为原件。</w:t>
      </w:r>
    </w:p>
    <w:p>
      <w:pPr>
        <w:keepNext w:val="0"/>
        <w:keepLines w:val="0"/>
        <w:pageBreakBefore w:val="0"/>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b/>
          <w:bCs/>
          <w:color w:val="auto"/>
          <w:kern w:val="0"/>
          <w:sz w:val="24"/>
          <w:szCs w:val="24"/>
        </w:rPr>
      </w:pPr>
      <w:r>
        <w:rPr>
          <w:rFonts w:hint="eastAsia" w:ascii="宋体" w:hAnsi="宋体" w:eastAsia="宋体" w:cs="宋体"/>
          <w:color w:val="auto"/>
          <w:kern w:val="0"/>
          <w:sz w:val="24"/>
          <w:szCs w:val="24"/>
        </w:rPr>
        <w:t>附件3-4 </w:t>
      </w: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color w:val="auto"/>
          <w:kern w:val="0"/>
          <w:sz w:val="24"/>
          <w:szCs w:val="24"/>
        </w:rPr>
      </w:pPr>
      <w:r>
        <w:rPr>
          <w:rFonts w:hint="eastAsia" w:ascii="宋体" w:hAnsi="宋体" w:eastAsia="宋体" w:cs="宋体"/>
          <w:b/>
          <w:bCs/>
          <w:color w:val="auto"/>
          <w:kern w:val="0"/>
          <w:sz w:val="28"/>
          <w:szCs w:val="28"/>
        </w:rPr>
        <w:t>营业执照等证明文件</w:t>
      </w: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）供应商为法人（包括企业、事业单位和社会团体）的</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现附上由（填写“签发机关全称”）签发的我方统一社会信用代码（请填写法人的具体证照名称）复印件，该证明材料真实有效，否则我方负全部责任。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）供应商为非法人（包括其他组织、自然人）的</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□现附上由（填写“签发机关全称”）签发的我方（请填写非自然人的非法人的具体证照名称）复印件，该证明材料真实有效，否则我方负全部责任。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□现附上由（填写“签发机关全称”）签发的我方（请填写自然人的身份证件名称）复印件，该证明材料真实有效，否则我方负全部责任。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★注意：</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1、请供应商根据实际情况填写，在相应的（）中打“√”并选择相应的“□”（若有）后，再按照本格式的要求提供相应证明材料的复印件。</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3、供应商提供的相应证明材料复印件均应符合：内容完整、清晰、整洁，并由供应商加盖其单位公章。</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4、对于接受联合体形式的谈判且供应商是联合体的，则联合体各成员都应当提交本资格证明文件。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附件3-5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b/>
          <w:bCs/>
          <w:color w:val="auto"/>
          <w:kern w:val="0"/>
          <w:sz w:val="28"/>
          <w:szCs w:val="28"/>
        </w:rPr>
        <w:t>财务状况报告</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）供应商提供财务报告的</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企业适用：现附上我方（填写“具体的年度、或半年度、或季度”）财务报告复印件，包括资产负债表、利润表、现金流量表、所有者权益变动表及其附注（若有），上述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事业单位适用：现附上我方（填写“具体的年度、或半年度、或季度”）财务报告复印件，包括资产负债表、收入支出表或收入费用表、财政补助收入支出表（若有），上述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□社会团体适用：现附上我方（填写“具体的年度、或半年度、或季度”）财务报告复印件，包括资产负债表、业务活动表、现金流量表，上述证明材料真实有效，否则我方负全部责任。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）供应商提供资信证明的</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□非自然人适用：现附上我方开户（基本户）许可证复印件及我方银行：（填写“基本户的开户银行全称”）出具的资信证明复印件，上述证明材料真实有效，否则我方负全部责任。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□自然人适用：现附上我方银行：（填写自然人的“个人账户的开户银行全称”）出具的资信证明复印件，上述证明材料真实有效，否则我方负全部责任。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）供应商提供投标担保函的</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现附上由财政部门认可的政府采购专业担保机构：（填写“担保机构全称”）出具的投标担保函复印件，上述证明材料真实有效，否则我方负全部责任。</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★注意事项：</w:t>
      </w:r>
    </w:p>
    <w:p>
      <w:pPr>
        <w:keepNext w:val="0"/>
        <w:keepLines w:val="0"/>
        <w:pageBreakBefore w:val="0"/>
        <w:widowControl/>
        <w:kinsoku/>
        <w:wordWrap/>
        <w:overflowPunct/>
        <w:topLinePunct w:val="0"/>
        <w:bidi w:val="0"/>
        <w:snapToGrid/>
        <w:spacing w:before="75" w:after="75" w:line="360" w:lineRule="auto"/>
        <w:ind w:firstLine="42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keepNext w:val="0"/>
        <w:keepLines w:val="0"/>
        <w:pageBreakBefore w:val="0"/>
        <w:widowControl/>
        <w:kinsoku/>
        <w:wordWrap/>
        <w:overflowPunct/>
        <w:topLinePunct w:val="0"/>
        <w:bidi w:val="0"/>
        <w:snapToGrid/>
        <w:spacing w:before="75" w:after="75" w:line="360" w:lineRule="auto"/>
        <w:ind w:firstLine="42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2、供应商提供的财务报告复印件（成立年限按照首次响应文件递交截止时间推算）应符合下列规定：</w:t>
      </w:r>
    </w:p>
    <w:p>
      <w:pPr>
        <w:keepNext w:val="0"/>
        <w:keepLines w:val="0"/>
        <w:pageBreakBefore w:val="0"/>
        <w:widowControl/>
        <w:kinsoku/>
        <w:wordWrap/>
        <w:overflowPunct/>
        <w:topLinePunct w:val="0"/>
        <w:bidi w:val="0"/>
        <w:snapToGrid/>
        <w:spacing w:before="75" w:after="75" w:line="360" w:lineRule="auto"/>
        <w:ind w:firstLine="42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2.1成立年限满1年及以上的供应商，提供经审计的上一年度的年度财务报告。</w:t>
      </w:r>
    </w:p>
    <w:p>
      <w:pPr>
        <w:keepNext w:val="0"/>
        <w:keepLines w:val="0"/>
        <w:pageBreakBefore w:val="0"/>
        <w:widowControl/>
        <w:kinsoku/>
        <w:wordWrap/>
        <w:overflowPunct/>
        <w:topLinePunct w:val="0"/>
        <w:bidi w:val="0"/>
        <w:snapToGrid/>
        <w:spacing w:before="75" w:after="75" w:line="360" w:lineRule="auto"/>
        <w:ind w:firstLine="42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2.2成立年限满半年但不足1年的供应商，提供该半年度中任一季度的季度财务报告或该半年度的半年度财务报告。</w:t>
      </w:r>
    </w:p>
    <w:p>
      <w:pPr>
        <w:keepNext w:val="0"/>
        <w:keepLines w:val="0"/>
        <w:pageBreakBefore w:val="0"/>
        <w:widowControl/>
        <w:kinsoku/>
        <w:wordWrap/>
        <w:overflowPunct/>
        <w:topLinePunct w:val="0"/>
        <w:bidi w:val="0"/>
        <w:snapToGrid/>
        <w:spacing w:before="75" w:after="75" w:line="360" w:lineRule="auto"/>
        <w:ind w:firstLine="420"/>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无法按照本格式注意事项第2.1、2.2条规定提供财务报告复印件的供应商，应按照本格式注意事项的要求选择提供资信证明复印件或投标担保函复印件，其中：非自然人的供应商选择提供资信证明的，还应附上其开户（基本户）许可证复印件。</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3、“财政部门认可的政府采购专业担保机构”应符合《财政部关于开展政府采购信用担保试点工作方案》（财库[2012]124号）的规定。</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4、供应商提供的相应证明材料复印件均应符合：内容完整、清晰、整洁，并由供应商加盖其单位公章。</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5、对于接受联合体形式的谈判且供应商是联合体的，则联合体各成员都应当提交本资格证明文件。</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附件3-6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28"/>
          <w:szCs w:val="28"/>
        </w:rPr>
      </w:pPr>
      <w:r>
        <w:rPr>
          <w:rFonts w:hint="eastAsia" w:ascii="宋体" w:hAnsi="宋体" w:eastAsia="宋体" w:cs="宋体"/>
          <w:b/>
          <w:bCs/>
          <w:color w:val="auto"/>
          <w:kern w:val="0"/>
          <w:sz w:val="28"/>
          <w:szCs w:val="28"/>
        </w:rPr>
        <w:t>依法缴纳税收证明材料</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2" w:firstLineChars="200"/>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1、依法缴纳税收的供应商</w:t>
      </w:r>
    </w:p>
    <w:p>
      <w:pPr>
        <w:keepNext w:val="0"/>
        <w:keepLines w:val="0"/>
        <w:pageBreakBefore w:val="0"/>
        <w:widowControl/>
        <w:kinsoku/>
        <w:wordWrap/>
        <w:overflowPunct/>
        <w:topLinePunct w:val="0"/>
        <w:bidi w:val="0"/>
        <w:snapToGrid/>
        <w:spacing w:before="75" w:after="75" w:line="360" w:lineRule="auto"/>
        <w:ind w:firstLine="42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）法人（包括企业、事业单位和社会团体）的</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现附上自    年   月   日至    年   月   日期间我方缴纳的（按照供应商实际缴纳的税种名称填写，如：增值税、所得税等）税收凭据复印件，上述证明材料真实有效，否则我方负全部责任。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2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）非法人（包括其他组织、自然人）的</w:t>
      </w:r>
    </w:p>
    <w:p>
      <w:pPr>
        <w:keepNext w:val="0"/>
        <w:keepLines w:val="0"/>
        <w:pageBreakBefore w:val="0"/>
        <w:widowControl/>
        <w:kinsoku/>
        <w:wordWrap/>
        <w:overflowPunct/>
        <w:topLinePunct w:val="0"/>
        <w:bidi w:val="0"/>
        <w:snapToGrid/>
        <w:spacing w:before="75" w:after="75" w:line="360" w:lineRule="auto"/>
        <w:ind w:firstLine="42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现附上自    年   月   日至    年   月   日期间我方缴纳的（按照供应商实际缴纳的税种名称填写）税收凭据复印件，上述证明材料真实有效，否则我方负全部责任。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82" w:firstLineChars="200"/>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2、依法免税的供应商</w:t>
      </w:r>
    </w:p>
    <w:p>
      <w:pPr>
        <w:keepNext w:val="0"/>
        <w:keepLines w:val="0"/>
        <w:pageBreakBefore w:val="0"/>
        <w:widowControl/>
        <w:kinsoku/>
        <w:wordWrap/>
        <w:overflowPunct/>
        <w:topLinePunct w:val="0"/>
        <w:bidi w:val="0"/>
        <w:snapToGrid/>
        <w:spacing w:before="75" w:after="75" w:line="360" w:lineRule="auto"/>
        <w:ind w:firstLine="42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）现附上我方依法免税证明材料复印件，上述证明材料真实有效，否则我方负全部责任。</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★注意：</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1、请供应商根据实际情况填写，在相应的（）中打“√”，并按照本格式的要求提供相应证明材料的复印件。</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2、供应商提供的税收凭据复印件应符合下列规定：</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2.1首次响应文件递交截止时间前（不含截止时间的当月）已依法缴纳税收的供应商，提供首次响应文件递交截止时间前六个月（不含截止时间的当月）中任一月份的税收凭据复印件。</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2.2首次响应文件递交截止时间的当月成立且已依法缴纳税收的供应商，提供截止时间当月的税收凭据复印件。</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2.3首次响应文件递交截止时间的当月成立但因税务机关原因而尚未依法缴纳税收的供应商，提供依法缴纳税收承诺书原件（格式自拟），该承诺书视同税收凭据。</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3、供应商提供的相应证明材料复印件均应符合：内容完整、清晰、整洁，并由供应商加盖其单位公章。</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4、</w:t>
      </w:r>
      <w:r>
        <w:rPr>
          <w:rFonts w:hint="eastAsia" w:ascii="宋体" w:hAnsi="宋体" w:eastAsia="宋体" w:cs="宋体"/>
          <w:b/>
          <w:bCs/>
          <w:color w:val="auto"/>
          <w:kern w:val="0"/>
          <w:sz w:val="24"/>
          <w:szCs w:val="24"/>
        </w:rPr>
        <w:t>“依法缴纳税收证明材料”</w:t>
      </w:r>
      <w:r>
        <w:rPr>
          <w:rFonts w:hint="eastAsia" w:ascii="宋体" w:hAnsi="宋体" w:eastAsia="宋体" w:cs="宋体"/>
          <w:color w:val="auto"/>
          <w:kern w:val="0"/>
          <w:sz w:val="24"/>
          <w:szCs w:val="24"/>
        </w:rPr>
        <w:t>有欠缴记录的，视为</w:t>
      </w:r>
      <w:r>
        <w:rPr>
          <w:rFonts w:hint="eastAsia" w:ascii="宋体" w:hAnsi="宋体" w:eastAsia="宋体" w:cs="宋体"/>
          <w:b/>
          <w:bCs/>
          <w:color w:val="auto"/>
          <w:kern w:val="0"/>
          <w:sz w:val="24"/>
          <w:szCs w:val="24"/>
        </w:rPr>
        <w:t>未依法缴纳税收</w:t>
      </w:r>
      <w:r>
        <w:rPr>
          <w:rFonts w:hint="eastAsia" w:ascii="宋体" w:hAnsi="宋体" w:eastAsia="宋体" w:cs="宋体"/>
          <w:color w:val="auto"/>
          <w:kern w:val="0"/>
          <w:sz w:val="24"/>
          <w:szCs w:val="24"/>
        </w:rPr>
        <w:t>。</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5、对于接受联合体形式的谈判且供应商是联合体的，则联合体各成员都应当提交本资格证明文件。</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pStyle w:val="2"/>
        <w:keepNext w:val="0"/>
        <w:keepLines w:val="0"/>
        <w:pageBreakBefore w:val="0"/>
        <w:kinsoku/>
        <w:wordWrap/>
        <w:overflowPunct/>
        <w:topLinePunct w:val="0"/>
        <w:bidi w:val="0"/>
        <w:snapToGrid/>
        <w:spacing w:line="360" w:lineRule="auto"/>
        <w:textAlignment w:val="auto"/>
        <w:rPr>
          <w:rFonts w:ascii="宋体" w:hAnsi="宋体" w:cs="宋体"/>
          <w:color w:val="auto"/>
        </w:rPr>
      </w:pPr>
    </w:p>
    <w:p>
      <w:pPr>
        <w:pStyle w:val="2"/>
        <w:keepNext w:val="0"/>
        <w:keepLines w:val="0"/>
        <w:pageBreakBefore w:val="0"/>
        <w:kinsoku/>
        <w:wordWrap/>
        <w:overflowPunct/>
        <w:topLinePunct w:val="0"/>
        <w:bidi w:val="0"/>
        <w:snapToGrid/>
        <w:spacing w:line="360" w:lineRule="auto"/>
        <w:textAlignment w:val="auto"/>
        <w:rPr>
          <w:rFonts w:ascii="宋体" w:hAnsi="宋体" w:cs="宋体"/>
          <w:color w:val="auto"/>
        </w:rPr>
      </w:pP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color w:val="auto"/>
          <w:kern w:val="0"/>
          <w:sz w:val="24"/>
          <w:szCs w:val="24"/>
        </w:rPr>
      </w:pPr>
      <w:r>
        <w:rPr>
          <w:rFonts w:hint="eastAsia" w:ascii="宋体" w:hAnsi="宋体" w:eastAsia="宋体" w:cs="宋体"/>
          <w:color w:val="auto"/>
          <w:kern w:val="0"/>
          <w:sz w:val="24"/>
          <w:szCs w:val="24"/>
        </w:rPr>
        <w:t>附件3-7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color w:val="auto"/>
          <w:kern w:val="0"/>
          <w:sz w:val="24"/>
          <w:szCs w:val="24"/>
        </w:rPr>
      </w:pPr>
      <w:r>
        <w:rPr>
          <w:rFonts w:hint="eastAsia" w:ascii="宋体" w:hAnsi="宋体" w:eastAsia="宋体" w:cs="宋体"/>
          <w:b/>
          <w:bCs/>
          <w:color w:val="auto"/>
          <w:kern w:val="0"/>
          <w:sz w:val="28"/>
          <w:szCs w:val="28"/>
        </w:rPr>
        <w:t>依法缴纳社会保障资金证明材料</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2" w:firstLineChars="200"/>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1、依法缴纳社会保障资金的供应商</w:t>
      </w:r>
    </w:p>
    <w:p>
      <w:pPr>
        <w:keepNext w:val="0"/>
        <w:keepLines w:val="0"/>
        <w:pageBreakBefore w:val="0"/>
        <w:widowControl/>
        <w:kinsoku/>
        <w:wordWrap/>
        <w:overflowPunct/>
        <w:topLinePunct w:val="0"/>
        <w:bidi w:val="0"/>
        <w:snapToGrid/>
        <w:spacing w:before="75" w:after="75" w:line="360" w:lineRule="auto"/>
        <w:ind w:firstLine="42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）法人（包括企业、事业单位和社会团体）的</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现附上自    年   月   日至    年   月   日我方缴纳的社会保险凭据（限：税务机关/社会保障资金管理机关的专用收据或社会保险缴纳清单，或社会保险的银行缴款收讫凭证）复印件，上述证明材料真实有效，否则我方负全部责任。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）非法人（包括其他组织、自然人）的</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自    年   月   日至    年   月   日我方缴纳的社会保险凭据（限：税务机关/社会保障资金管理机关的专用收据或社会保险缴纳清单，或社会保险的银行缴款收讫凭证）复印件，上述证明材料真实有效，否则我方负全部责任。</w:t>
      </w:r>
    </w:p>
    <w:p>
      <w:pPr>
        <w:keepNext w:val="0"/>
        <w:keepLines w:val="0"/>
        <w:pageBreakBefore w:val="0"/>
        <w:widowControl/>
        <w:kinsoku/>
        <w:wordWrap/>
        <w:overflowPunct/>
        <w:topLinePunct w:val="0"/>
        <w:bidi w:val="0"/>
        <w:snapToGrid/>
        <w:spacing w:before="75" w:after="75" w:line="360" w:lineRule="auto"/>
        <w:ind w:firstLine="482" w:firstLineChars="200"/>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2、依法不需要缴纳社会保障资金的供应商</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）现附上我方依法不需要缴纳社会保障资金证明材料复印件，上述证明材料真实有效，否则我方负全部责任。</w:t>
      </w:r>
    </w:p>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★注意：</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1、请供应商根据实际情况填写，在相应的（）中打“√”，并按照本格式的要求提供相应证明材料的复印件。</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2、供应商提供的社会保险凭据复印件应符合下列规定：</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2.1首次响应文件递交截止时间前（不含截止时间的当月）已依法缴纳社会保障资金的投供应商，提供首次响应文件递交截止时间前六个月（不含截止时间的当月）中任一月份的社会保险凭据复印件。</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2.2首次响应文件递交截止时间的当月成立且已依法缴纳社会保障资金的供应商，提供首次响应文件递交截止时间当月的社会保险凭据复印件。</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2.3首次响应文件递交截止时间的当月成立但因税务机关/社会保障资金管理机关原因而尚未依法缴纳社会保障资金的供应商，提供依法缴纳社会保障资金承诺书原件（格式自拟），该承诺书视同社会保险凭据。</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3、供应商提供的相应证明材料复印件均应符合：内容完整、清晰、整洁，并由供应商加盖其单位公章。</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4、</w:t>
      </w:r>
      <w:r>
        <w:rPr>
          <w:rFonts w:hint="eastAsia" w:ascii="宋体" w:hAnsi="宋体" w:eastAsia="宋体" w:cs="宋体"/>
          <w:b/>
          <w:bCs/>
          <w:color w:val="auto"/>
          <w:kern w:val="0"/>
          <w:sz w:val="24"/>
          <w:szCs w:val="24"/>
        </w:rPr>
        <w:t>“依法缴纳社会保障资金证明材料”</w:t>
      </w:r>
      <w:r>
        <w:rPr>
          <w:rFonts w:hint="eastAsia" w:ascii="宋体" w:hAnsi="宋体" w:eastAsia="宋体" w:cs="宋体"/>
          <w:color w:val="auto"/>
          <w:kern w:val="0"/>
          <w:sz w:val="24"/>
          <w:szCs w:val="24"/>
        </w:rPr>
        <w:t>有欠缴记录的，视为</w:t>
      </w:r>
      <w:r>
        <w:rPr>
          <w:rFonts w:hint="eastAsia" w:ascii="宋体" w:hAnsi="宋体" w:eastAsia="宋体" w:cs="宋体"/>
          <w:b/>
          <w:bCs/>
          <w:color w:val="auto"/>
          <w:kern w:val="0"/>
          <w:sz w:val="24"/>
          <w:szCs w:val="24"/>
        </w:rPr>
        <w:t>未依法缴纳社会保障资金</w:t>
      </w:r>
      <w:r>
        <w:rPr>
          <w:rFonts w:hint="eastAsia" w:ascii="宋体" w:hAnsi="宋体" w:eastAsia="宋体" w:cs="宋体"/>
          <w:color w:val="auto"/>
          <w:kern w:val="0"/>
          <w:sz w:val="24"/>
          <w:szCs w:val="24"/>
        </w:rPr>
        <w:t>。</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5、对于接受联合体形式的谈判且供应商是联合体的，则联合体各成员都应当提交本资格证明文件。 </w:t>
      </w:r>
    </w:p>
    <w:p>
      <w:pPr>
        <w:pStyle w:val="2"/>
        <w:keepNext w:val="0"/>
        <w:keepLines w:val="0"/>
        <w:pageBreakBefore w:val="0"/>
        <w:kinsoku/>
        <w:wordWrap/>
        <w:overflowPunct/>
        <w:topLinePunct w:val="0"/>
        <w:bidi w:val="0"/>
        <w:snapToGrid/>
        <w:spacing w:line="360" w:lineRule="auto"/>
        <w:textAlignment w:val="auto"/>
        <w:rPr>
          <w:rFonts w:ascii="宋体" w:hAnsi="宋体" w:cs="宋体"/>
          <w:color w:val="auto"/>
        </w:rPr>
      </w:pPr>
    </w:p>
    <w:p>
      <w:pPr>
        <w:pStyle w:val="2"/>
        <w:keepNext w:val="0"/>
        <w:keepLines w:val="0"/>
        <w:pageBreakBefore w:val="0"/>
        <w:kinsoku/>
        <w:wordWrap/>
        <w:overflowPunct/>
        <w:topLinePunct w:val="0"/>
        <w:bidi w:val="0"/>
        <w:snapToGrid/>
        <w:spacing w:line="360" w:lineRule="auto"/>
        <w:textAlignment w:val="auto"/>
        <w:rPr>
          <w:rFonts w:ascii="宋体" w:hAnsi="宋体" w:cs="宋体"/>
          <w:color w:val="auto"/>
        </w:rPr>
      </w:pPr>
    </w:p>
    <w:p>
      <w:pPr>
        <w:pStyle w:val="2"/>
        <w:keepNext w:val="0"/>
        <w:keepLines w:val="0"/>
        <w:pageBreakBefore w:val="0"/>
        <w:kinsoku/>
        <w:wordWrap/>
        <w:overflowPunct/>
        <w:topLinePunct w:val="0"/>
        <w:bidi w:val="0"/>
        <w:snapToGrid/>
        <w:spacing w:line="360" w:lineRule="auto"/>
        <w:textAlignment w:val="auto"/>
        <w:rPr>
          <w:rFonts w:ascii="宋体" w:hAnsi="宋体" w:cs="宋体"/>
          <w:color w:val="auto"/>
        </w:rPr>
      </w:pP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日  期：     年    月    日</w:t>
      </w:r>
      <w:r>
        <w:rPr>
          <w:rFonts w:hint="eastAsia" w:ascii="宋体" w:hAnsi="宋体" w:eastAsia="宋体" w:cs="宋体"/>
          <w:color w:val="auto"/>
          <w:kern w:val="0"/>
          <w:sz w:val="24"/>
          <w:szCs w:val="24"/>
        </w:rPr>
        <w:br w:type="textWrapping"/>
      </w:r>
    </w:p>
    <w:p>
      <w:pPr>
        <w:keepNext w:val="0"/>
        <w:keepLines w:val="0"/>
        <w:pageBreakBefore w:val="0"/>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br w:type="page"/>
      </w:r>
    </w:p>
    <w:p>
      <w:pPr>
        <w:keepNext w:val="0"/>
        <w:keepLines w:val="0"/>
        <w:pageBreakBefore w:val="0"/>
        <w:widowControl/>
        <w:kinsoku/>
        <w:wordWrap/>
        <w:overflowPunct/>
        <w:topLinePunct w:val="0"/>
        <w:bidi w:val="0"/>
        <w:snapToGrid/>
        <w:spacing w:before="75" w:after="75" w:line="360" w:lineRule="auto"/>
        <w:textAlignment w:val="auto"/>
        <w:outlineLvl w:val="1"/>
        <w:rPr>
          <w:rFonts w:ascii="宋体" w:hAnsi="宋体" w:eastAsia="宋体" w:cs="宋体"/>
          <w:color w:val="auto"/>
          <w:kern w:val="0"/>
          <w:sz w:val="24"/>
          <w:szCs w:val="24"/>
        </w:rPr>
      </w:pPr>
      <w:r>
        <w:rPr>
          <w:rFonts w:hint="eastAsia" w:ascii="宋体" w:hAnsi="宋体" w:eastAsia="宋体" w:cs="宋体"/>
          <w:color w:val="auto"/>
          <w:kern w:val="0"/>
          <w:sz w:val="24"/>
          <w:szCs w:val="24"/>
        </w:rPr>
        <w:t>附件3-8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color w:val="auto"/>
          <w:kern w:val="0"/>
          <w:sz w:val="24"/>
          <w:szCs w:val="24"/>
        </w:rPr>
      </w:pPr>
      <w:r>
        <w:rPr>
          <w:rFonts w:hint="eastAsia" w:ascii="宋体" w:hAnsi="宋体" w:eastAsia="宋体" w:cs="宋体"/>
          <w:b/>
          <w:bCs/>
          <w:color w:val="auto"/>
          <w:kern w:val="0"/>
          <w:sz w:val="28"/>
          <w:szCs w:val="28"/>
        </w:rPr>
        <w:t>具备履行合同所必需设备和专业技术能力证明材料声明函</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我方具备履行合同所必需的设备和专业技术能力，并对本声明承诺的真实性负责，否则产生不利后果由我方承担责任。</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特此声明。</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★注意：</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b/>
          <w:bCs/>
          <w:color w:val="auto"/>
          <w:kern w:val="0"/>
          <w:sz w:val="24"/>
          <w:szCs w:val="24"/>
        </w:rPr>
        <w:t>谈判文件“供应商的资格”中特定资格条件如果没有特别规定，则由供应商在响应文件中按上述格式提供其具备履行合同所必需的设备和专业技术能力的声明即可，声明函应加盖供应商单位公章。</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b/>
          <w:bCs/>
          <w:color w:val="auto"/>
          <w:kern w:val="0"/>
          <w:sz w:val="24"/>
          <w:szCs w:val="24"/>
        </w:rPr>
        <w:t>3.对于接受联合体形式的谈判且供应商是联合体的，则联合体各成员都应当提交本资格证明文件。</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附件3-9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b/>
          <w:bCs/>
          <w:color w:val="auto"/>
          <w:kern w:val="0"/>
          <w:sz w:val="28"/>
          <w:szCs w:val="28"/>
        </w:rPr>
        <w:t>参加采购活动前三年内在经营活动中没有重大违法记录书面声明</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参加采购活动前三年内，我方在经营活动中没有重大违法记录，</w:t>
      </w:r>
      <w:r>
        <w:rPr>
          <w:rFonts w:hint="eastAsia" w:ascii="宋体" w:hAnsi="宋体" w:eastAsia="宋体" w:cs="宋体"/>
          <w:color w:val="auto"/>
          <w:kern w:val="0"/>
          <w:szCs w:val="21"/>
        </w:rPr>
        <w:t>也无行贿犯罪记录</w:t>
      </w:r>
      <w:r>
        <w:rPr>
          <w:rFonts w:hint="eastAsia" w:ascii="宋体" w:hAnsi="宋体" w:eastAsia="宋体" w:cs="宋体"/>
          <w:color w:val="auto"/>
          <w:kern w:val="0"/>
          <w:sz w:val="24"/>
          <w:szCs w:val="24"/>
        </w:rPr>
        <w:t>。</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特此声明。</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★注意：</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1、“重大违法记录”指供应商因违法经营受到刑事处罚或责令停产停业、吊销许可证或执照、较大数额罚款等行政处罚。</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2、请供应商根据实际情况进行声明，若声明不真实，视为提供虚假材料。</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3、对于接受联合体形式的谈判且供应商是联合体的，则联合体各成员都应当提交本资格证明文件。</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br w:type="textWrapping"/>
      </w:r>
    </w:p>
    <w:p>
      <w:pPr>
        <w:keepNext w:val="0"/>
        <w:keepLines w:val="0"/>
        <w:pageBreakBefore w:val="0"/>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color w:val="auto"/>
          <w:kern w:val="0"/>
          <w:sz w:val="24"/>
          <w:szCs w:val="24"/>
        </w:rPr>
      </w:pPr>
      <w:r>
        <w:rPr>
          <w:rFonts w:hint="eastAsia" w:ascii="宋体" w:hAnsi="宋体" w:eastAsia="宋体" w:cs="宋体"/>
          <w:color w:val="auto"/>
          <w:kern w:val="0"/>
          <w:sz w:val="24"/>
          <w:szCs w:val="24"/>
        </w:rPr>
        <w:t>附件3-10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color w:val="auto"/>
          <w:kern w:val="0"/>
          <w:sz w:val="24"/>
          <w:szCs w:val="24"/>
        </w:rPr>
      </w:pPr>
      <w:r>
        <w:rPr>
          <w:rFonts w:hint="eastAsia" w:ascii="宋体" w:hAnsi="宋体" w:eastAsia="宋体" w:cs="宋体"/>
          <w:b/>
          <w:bCs/>
          <w:color w:val="auto"/>
          <w:kern w:val="0"/>
          <w:sz w:val="28"/>
          <w:szCs w:val="28"/>
        </w:rPr>
        <w:t>信用记录查询结果</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现附上截至   年   月   日   时我方通过“信用中国”网站（www.creditchina.gov.cn）获取的我方信用信息查询结果（填写具体份数）份、通过中国政府采购网（www.ccgp.gov.cn）获取的我方信用信息查询结果（填写具体份数）份，上述信用信息查询结果真实有效，否则我方负全部责任。</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★注意：</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1、供应商应</w:t>
      </w:r>
      <w:r>
        <w:rPr>
          <w:rFonts w:hint="eastAsia" w:ascii="宋体" w:hAnsi="宋体" w:eastAsia="宋体" w:cs="宋体"/>
          <w:b/>
          <w:bCs/>
          <w:color w:val="auto"/>
          <w:kern w:val="0"/>
          <w:sz w:val="24"/>
          <w:szCs w:val="24"/>
        </w:rPr>
        <w:t>同时提供</w:t>
      </w:r>
      <w:r>
        <w:rPr>
          <w:rFonts w:hint="eastAsia" w:ascii="宋体" w:hAnsi="宋体" w:eastAsia="宋体" w:cs="宋体"/>
          <w:color w:val="auto"/>
          <w:kern w:val="0"/>
          <w:sz w:val="24"/>
          <w:szCs w:val="24"/>
        </w:rPr>
        <w:t>在谈判文件要求的首次响应文件递交截止时点前通过上述2个网站获取的信用信息查询结果，信用信息查询结果应为从上述网站获取的查询结果原始页面的打印件或完整截图，</w:t>
      </w:r>
      <w:r>
        <w:rPr>
          <w:rFonts w:hint="eastAsia" w:ascii="宋体" w:hAnsi="宋体" w:eastAsia="宋体" w:cs="宋体"/>
          <w:b/>
          <w:bCs/>
          <w:color w:val="auto"/>
          <w:kern w:val="0"/>
          <w:sz w:val="24"/>
          <w:szCs w:val="24"/>
        </w:rPr>
        <w:t>否则其响应文件将被否决</w:t>
      </w:r>
      <w:r>
        <w:rPr>
          <w:rFonts w:hint="eastAsia" w:ascii="宋体" w:hAnsi="宋体" w:eastAsia="宋体" w:cs="宋体"/>
          <w:color w:val="auto"/>
          <w:kern w:val="0"/>
          <w:sz w:val="24"/>
          <w:szCs w:val="24"/>
        </w:rPr>
        <w:t>。</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2、若本项目接受联合体响应谈判且供应商为联合体，则联合体各成员均应</w:t>
      </w:r>
      <w:r>
        <w:rPr>
          <w:rFonts w:hint="eastAsia" w:ascii="宋体" w:hAnsi="宋体" w:eastAsia="宋体" w:cs="宋体"/>
          <w:b/>
          <w:bCs/>
          <w:color w:val="auto"/>
          <w:kern w:val="0"/>
          <w:sz w:val="24"/>
          <w:szCs w:val="24"/>
        </w:rPr>
        <w:t>同时提供</w:t>
      </w:r>
      <w:r>
        <w:rPr>
          <w:rFonts w:hint="eastAsia" w:ascii="宋体" w:hAnsi="宋体" w:eastAsia="宋体" w:cs="宋体"/>
          <w:color w:val="auto"/>
          <w:kern w:val="0"/>
          <w:sz w:val="24"/>
          <w:szCs w:val="24"/>
        </w:rPr>
        <w:t>在谈判文件要求的首次响应文件截止时点前通过上述2个网站获取的联合体各方的信用信息查询结果，信用信息查询结果应为从上述网站获取的查询结果原始页面的完整截图或打印件，</w:t>
      </w:r>
      <w:r>
        <w:rPr>
          <w:rFonts w:hint="eastAsia" w:ascii="宋体" w:hAnsi="宋体" w:eastAsia="宋体" w:cs="宋体"/>
          <w:b/>
          <w:bCs/>
          <w:color w:val="auto"/>
          <w:kern w:val="0"/>
          <w:sz w:val="24"/>
          <w:szCs w:val="24"/>
        </w:rPr>
        <w:t>否则其响应文件将被否决</w:t>
      </w:r>
      <w:r>
        <w:rPr>
          <w:rFonts w:hint="eastAsia" w:ascii="宋体" w:hAnsi="宋体" w:eastAsia="宋体" w:cs="宋体"/>
          <w:color w:val="auto"/>
          <w:kern w:val="0"/>
          <w:sz w:val="24"/>
          <w:szCs w:val="24"/>
        </w:rPr>
        <w:t>。</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3、联合体成员存在不良信用记录的，视同联合体存在不良信用记录，</w:t>
      </w:r>
      <w:r>
        <w:rPr>
          <w:rFonts w:hint="eastAsia" w:ascii="宋体" w:hAnsi="宋体" w:eastAsia="宋体" w:cs="宋体"/>
          <w:b/>
          <w:bCs/>
          <w:color w:val="auto"/>
          <w:kern w:val="0"/>
          <w:sz w:val="24"/>
          <w:szCs w:val="24"/>
        </w:rPr>
        <w:t>其响应文件将被否决</w:t>
      </w:r>
      <w:r>
        <w:rPr>
          <w:rFonts w:hint="eastAsia" w:ascii="宋体" w:hAnsi="宋体" w:eastAsia="宋体" w:cs="宋体"/>
          <w:color w:val="auto"/>
          <w:kern w:val="0"/>
          <w:sz w:val="24"/>
          <w:szCs w:val="24"/>
        </w:rPr>
        <w:t>。</w:t>
      </w:r>
    </w:p>
    <w:p>
      <w:pPr>
        <w:keepNext w:val="0"/>
        <w:keepLines w:val="0"/>
        <w:pageBreakBefore w:val="0"/>
        <w:widowControl/>
        <w:kinsoku/>
        <w:wordWrap/>
        <w:overflowPunct/>
        <w:topLinePunct w:val="0"/>
        <w:bidi w:val="0"/>
        <w:snapToGrid/>
        <w:spacing w:before="75" w:after="75" w:line="360" w:lineRule="auto"/>
        <w:ind w:firstLine="482" w:firstLineChars="200"/>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※除上述规定外，信用记录的其他有关规定（包括但不限于：信用信息的查询渠道及截止时点、查询记录和证据留存的具体方式、使用规则等内容）详见谈判文件第一章。</w:t>
      </w: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b/>
          <w:bCs/>
          <w:color w:val="auto"/>
          <w:kern w:val="0"/>
          <w:sz w:val="24"/>
          <w:szCs w:val="24"/>
        </w:rPr>
      </w:pPr>
      <w:r>
        <w:rPr>
          <w:rFonts w:hint="eastAsia" w:ascii="宋体" w:hAnsi="宋体" w:eastAsia="宋体" w:cs="宋体"/>
          <w:color w:val="auto"/>
          <w:kern w:val="0"/>
          <w:sz w:val="24"/>
          <w:szCs w:val="24"/>
        </w:rPr>
        <w:t>附件3-11      </w:t>
      </w: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联合体协议</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（接受联合体的项目使用）</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致：(采购人或采购代理机构)     </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兹有（填写“联合体中各方的全称”，各方的全称之间请用“、”分割）自愿组成联合体，共同参加（填写 “项目名称” ） 项目（项目编号：       ）的响应谈判。现就联合体参加本项目响应谈判的有关事宜达成下列协议：</w:t>
      </w:r>
    </w:p>
    <w:p>
      <w:pPr>
        <w:keepNext w:val="0"/>
        <w:keepLines w:val="0"/>
        <w:pageBreakBefore w:val="0"/>
        <w:widowControl/>
        <w:numPr>
          <w:ilvl w:val="0"/>
          <w:numId w:val="9"/>
        </w:numPr>
        <w:kinsoku/>
        <w:wordWrap/>
        <w:overflowPunct/>
        <w:topLinePunct w:val="0"/>
        <w:bidi w:val="0"/>
        <w:snapToGrid/>
        <w:spacing w:before="75" w:after="75" w:line="360" w:lineRule="auto"/>
        <w:ind w:left="239" w:leftChars="114" w:firstLine="240" w:firstLineChars="1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联合体各方应承担的工作和义务具体如下：</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1、联合体牵头方单位名称：                  </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（填写“工作及义务的具体内容”）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2、联合体成员方单位名称：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2.1（成员一的全称）： （填写“工作及义务的具体内容”） ；</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三、联合体各方约定由（填写填写“牵头方的全称”）代表联合体办理。</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四、若成交，牵头方将代表联合体与采购人就合同签订事宜进行协商；若协商一致，则联合体各方将共同与采购人签订政府采购合同，并就政府采购合同约定的事项对采购人承担连带责任。</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五、本协议自签署之日起生效，政府采购合同履行完毕后自动失效。</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六、本协议一式（填写具体份数）份，联合体各方各执一份，响应文件中提交一份。</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（以下无正文）</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牵头方：（全称并加盖单位公章）</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（签字或盖章）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成员一：（全称并加盖成员一的单位公章）</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（签字或盖章）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成员**：（全称并加盖成员**的单位公章）</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（签字或盖章）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签署日期：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★注意：</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1、若谈判文件规定接受联合体形式且供应商为联合体的，则供应商应提供本协议；否则无须提供。</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2、本协议中的供应商代表如果不是竞争性谈判须知中定义的“单位负责人”，则还必须提供“单位负责人授权书”。</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3、若谈判文件规定接受联合体形式且供应商为联合体的，纸质响应文件正本中的本协议应为原件。</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br w:type="textWrapping"/>
      </w:r>
    </w:p>
    <w:p>
      <w:pPr>
        <w:keepNext w:val="0"/>
        <w:keepLines w:val="0"/>
        <w:pageBreakBefore w:val="0"/>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color w:val="auto"/>
          <w:kern w:val="0"/>
          <w:sz w:val="24"/>
          <w:szCs w:val="24"/>
        </w:rPr>
      </w:pPr>
      <w:r>
        <w:rPr>
          <w:rFonts w:hint="eastAsia" w:ascii="宋体" w:hAnsi="宋体" w:eastAsia="宋体" w:cs="宋体"/>
          <w:color w:val="auto"/>
          <w:kern w:val="0"/>
          <w:sz w:val="24"/>
          <w:szCs w:val="24"/>
        </w:rPr>
        <w:t>附件3-12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color w:val="auto"/>
          <w:kern w:val="0"/>
          <w:sz w:val="24"/>
          <w:szCs w:val="24"/>
        </w:rPr>
      </w:pPr>
      <w:r>
        <w:rPr>
          <w:rFonts w:hint="eastAsia" w:ascii="宋体" w:hAnsi="宋体" w:eastAsia="宋体" w:cs="宋体"/>
          <w:b/>
          <w:bCs/>
          <w:color w:val="auto"/>
          <w:kern w:val="0"/>
          <w:sz w:val="24"/>
          <w:szCs w:val="24"/>
        </w:rPr>
        <w:t>其它资格证明文件</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（若有）</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keepNext w:val="0"/>
        <w:keepLines w:val="0"/>
        <w:pageBreakBefore w:val="0"/>
        <w:widowControl/>
        <w:numPr>
          <w:ilvl w:val="0"/>
          <w:numId w:val="8"/>
        </w:numPr>
        <w:kinsoku/>
        <w:wordWrap/>
        <w:overflowPunct/>
        <w:topLinePunct w:val="0"/>
        <w:bidi w:val="0"/>
        <w:snapToGrid/>
        <w:spacing w:before="75" w:after="75" w:line="360" w:lineRule="auto"/>
        <w:ind w:left="479" w:leftChars="228"/>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若谈判文件规定接受联合体形式且供应商为联合体的，涉及联合体成员的其它资格证明文件在此处提供相关证明材料，并加盖供应商单位公章。</w:t>
      </w:r>
    </w:p>
    <w:p>
      <w:pPr>
        <w:pStyle w:val="2"/>
        <w:keepNext w:val="0"/>
        <w:keepLines w:val="0"/>
        <w:pageBreakBefore w:val="0"/>
        <w:numPr>
          <w:ilvl w:val="0"/>
          <w:numId w:val="8"/>
        </w:numPr>
        <w:kinsoku/>
        <w:wordWrap/>
        <w:overflowPunct/>
        <w:topLinePunct w:val="0"/>
        <w:bidi w:val="0"/>
        <w:snapToGrid/>
        <w:spacing w:line="360" w:lineRule="auto"/>
        <w:ind w:left="479" w:leftChars="228"/>
        <w:textAlignment w:val="auto"/>
        <w:rPr>
          <w:color w:val="auto"/>
        </w:rPr>
      </w:pP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br w:type="textWrapping"/>
      </w:r>
    </w:p>
    <w:p>
      <w:pPr>
        <w:keepNext w:val="0"/>
        <w:keepLines w:val="0"/>
        <w:pageBreakBefore w:val="0"/>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b/>
          <w:bCs/>
          <w:color w:val="auto"/>
          <w:kern w:val="0"/>
          <w:sz w:val="24"/>
          <w:szCs w:val="24"/>
        </w:rPr>
      </w:pPr>
      <w:r>
        <w:rPr>
          <w:rFonts w:hint="eastAsia" w:ascii="宋体" w:hAnsi="宋体" w:eastAsia="宋体" w:cs="宋体"/>
          <w:color w:val="auto"/>
          <w:kern w:val="0"/>
          <w:sz w:val="24"/>
          <w:szCs w:val="24"/>
        </w:rPr>
        <w:t>附件</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-1  </w:t>
      </w: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color w:val="auto"/>
          <w:kern w:val="0"/>
          <w:sz w:val="28"/>
          <w:szCs w:val="28"/>
        </w:rPr>
      </w:pPr>
      <w:r>
        <w:rPr>
          <w:rFonts w:hint="eastAsia" w:ascii="宋体" w:hAnsi="宋体" w:eastAsia="宋体" w:cs="宋体"/>
          <w:b/>
          <w:bCs/>
          <w:color w:val="auto"/>
          <w:kern w:val="0"/>
          <w:sz w:val="28"/>
          <w:szCs w:val="28"/>
        </w:rPr>
        <w:t>技术和服务要求响应表</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 （全称加盖单位公章）  项目编号∶       </w:t>
      </w:r>
    </w:p>
    <w:tbl>
      <w:tblPr>
        <w:tblStyle w:val="10"/>
        <w:tblW w:w="8435"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9"/>
        <w:gridCol w:w="1408"/>
        <w:gridCol w:w="2336"/>
        <w:gridCol w:w="2032"/>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合同包</w:t>
            </w: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章节条目号</w:t>
            </w: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竞争性谈判文件规定的技术和服务要求</w:t>
            </w: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响应文件响应承诺</w:t>
            </w: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4"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0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8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bl>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b/>
          <w:bCs/>
          <w:color w:val="auto"/>
          <w:kern w:val="0"/>
        </w:rPr>
      </w:pPr>
    </w:p>
    <w:p>
      <w:pPr>
        <w:keepNext w:val="0"/>
        <w:keepLines w:val="0"/>
        <w:pageBreakBefore w:val="0"/>
        <w:widowControl/>
        <w:kinsoku/>
        <w:wordWrap/>
        <w:overflowPunct/>
        <w:topLinePunct w:val="0"/>
        <w:bidi w:val="0"/>
        <w:snapToGrid/>
        <w:spacing w:before="75" w:after="75" w:line="360" w:lineRule="auto"/>
        <w:ind w:firstLine="422" w:firstLineChars="200"/>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给采购人和采购代理机构造成损失的，还必须进行赔偿并负相关责任。</w:t>
      </w:r>
    </w:p>
    <w:p>
      <w:pPr>
        <w:keepNext w:val="0"/>
        <w:keepLines w:val="0"/>
        <w:pageBreakBefore w:val="0"/>
        <w:widowControl/>
        <w:kinsoku/>
        <w:wordWrap/>
        <w:overflowPunct/>
        <w:topLinePunct w:val="0"/>
        <w:bidi w:val="0"/>
        <w:snapToGrid/>
        <w:spacing w:before="75" w:after="75" w:line="360" w:lineRule="auto"/>
        <w:ind w:firstLine="422" w:firstLineChars="200"/>
        <w:jc w:val="left"/>
        <w:textAlignment w:val="auto"/>
        <w:rPr>
          <w:rFonts w:ascii="宋体" w:hAnsi="宋体" w:eastAsia="宋体" w:cs="宋体"/>
          <w:b/>
          <w:bCs/>
          <w:color w:val="auto"/>
          <w:kern w:val="0"/>
        </w:rPr>
      </w:pPr>
      <w:r>
        <w:rPr>
          <w:rFonts w:hint="eastAsia" w:ascii="宋体" w:hAnsi="宋体" w:eastAsia="宋体" w:cs="宋体"/>
          <w:b/>
          <w:bCs/>
          <w:color w:val="auto"/>
          <w:kern w:val="0"/>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2"/>
        <w:keepNext w:val="0"/>
        <w:keepLines w:val="0"/>
        <w:pageBreakBefore w:val="0"/>
        <w:kinsoku/>
        <w:wordWrap/>
        <w:overflowPunct/>
        <w:topLinePunct w:val="0"/>
        <w:bidi w:val="0"/>
        <w:snapToGrid/>
        <w:spacing w:line="360" w:lineRule="auto"/>
        <w:textAlignment w:val="auto"/>
        <w:rPr>
          <w:color w:val="auto"/>
        </w:rPr>
      </w:pPr>
    </w:p>
    <w:p>
      <w:pPr>
        <w:pStyle w:val="2"/>
        <w:keepNext w:val="0"/>
        <w:keepLines w:val="0"/>
        <w:pageBreakBefore w:val="0"/>
        <w:kinsoku/>
        <w:wordWrap/>
        <w:overflowPunct/>
        <w:topLinePunct w:val="0"/>
        <w:bidi w:val="0"/>
        <w:snapToGrid/>
        <w:spacing w:line="360" w:lineRule="auto"/>
        <w:textAlignment w:val="auto"/>
        <w:rPr>
          <w:color w:val="auto"/>
        </w:rPr>
      </w:pPr>
    </w:p>
    <w:p>
      <w:pPr>
        <w:pStyle w:val="2"/>
        <w:keepNext w:val="0"/>
        <w:keepLines w:val="0"/>
        <w:pageBreakBefore w:val="0"/>
        <w:kinsoku/>
        <w:wordWrap/>
        <w:overflowPunct/>
        <w:topLinePunct w:val="0"/>
        <w:bidi w:val="0"/>
        <w:snapToGrid/>
        <w:spacing w:line="360" w:lineRule="auto"/>
        <w:textAlignment w:val="auto"/>
        <w:rPr>
          <w:color w:val="auto"/>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供应商代表签字： _________________</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b/>
          <w:bCs/>
          <w:color w:val="auto"/>
          <w:kern w:val="0"/>
          <w:sz w:val="24"/>
          <w:szCs w:val="24"/>
        </w:rPr>
      </w:pPr>
      <w:r>
        <w:rPr>
          <w:rFonts w:hint="eastAsia" w:ascii="宋体" w:hAnsi="宋体" w:eastAsia="宋体" w:cs="宋体"/>
          <w:color w:val="auto"/>
          <w:kern w:val="0"/>
          <w:sz w:val="24"/>
          <w:szCs w:val="24"/>
        </w:rPr>
        <w:t>附件</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-2      </w:t>
      </w: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color w:val="auto"/>
          <w:kern w:val="0"/>
          <w:sz w:val="24"/>
          <w:szCs w:val="24"/>
        </w:rPr>
      </w:pPr>
      <w:r>
        <w:rPr>
          <w:rFonts w:hint="eastAsia" w:ascii="宋体" w:hAnsi="宋体" w:eastAsia="宋体" w:cs="宋体"/>
          <w:b/>
          <w:bCs/>
          <w:color w:val="auto"/>
          <w:kern w:val="0"/>
          <w:sz w:val="28"/>
          <w:szCs w:val="28"/>
        </w:rPr>
        <w:t>商务条件和其它事项响应表</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 （全称加盖单位公章）  项目编号∶       </w:t>
      </w:r>
    </w:p>
    <w:tbl>
      <w:tblPr>
        <w:tblStyle w:val="10"/>
        <w:tblW w:w="76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8"/>
        <w:gridCol w:w="1408"/>
        <w:gridCol w:w="2336"/>
        <w:gridCol w:w="2046"/>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合同包</w:t>
            </w: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章节条目号</w:t>
            </w: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竞争性谈判文件规定的商务条件要求</w:t>
            </w: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响应文件响应承诺</w:t>
            </w: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3"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378"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30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2016"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11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bl>
    <w:p>
      <w:pPr>
        <w:keepNext w:val="0"/>
        <w:keepLines w:val="0"/>
        <w:pageBreakBefore w:val="0"/>
        <w:widowControl/>
        <w:kinsoku/>
        <w:wordWrap/>
        <w:overflowPunct/>
        <w:topLinePunct w:val="0"/>
        <w:bidi w:val="0"/>
        <w:snapToGrid/>
        <w:spacing w:before="75" w:after="75" w:line="360" w:lineRule="auto"/>
        <w:ind w:firstLine="422" w:firstLineChars="200"/>
        <w:jc w:val="left"/>
        <w:textAlignment w:val="auto"/>
        <w:rPr>
          <w:rFonts w:ascii="宋体" w:hAnsi="宋体" w:eastAsia="宋体" w:cs="宋体"/>
          <w:b/>
          <w:bCs/>
          <w:color w:val="auto"/>
          <w:kern w:val="0"/>
        </w:rPr>
      </w:pPr>
    </w:p>
    <w:p>
      <w:pPr>
        <w:keepNext w:val="0"/>
        <w:keepLines w:val="0"/>
        <w:pageBreakBefore w:val="0"/>
        <w:widowControl/>
        <w:kinsoku/>
        <w:wordWrap/>
        <w:overflowPunct/>
        <w:topLinePunct w:val="0"/>
        <w:bidi w:val="0"/>
        <w:snapToGrid/>
        <w:spacing w:before="75" w:after="75" w:line="360" w:lineRule="auto"/>
        <w:ind w:firstLine="422" w:firstLineChars="200"/>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给采购人和采购代理机构造成损失的，还必须进行赔偿并负相关责任。</w:t>
      </w:r>
    </w:p>
    <w:p>
      <w:pPr>
        <w:keepNext w:val="0"/>
        <w:keepLines w:val="0"/>
        <w:pageBreakBefore w:val="0"/>
        <w:widowControl/>
        <w:kinsoku/>
        <w:wordWrap/>
        <w:overflowPunct/>
        <w:topLinePunct w:val="0"/>
        <w:bidi w:val="0"/>
        <w:snapToGrid/>
        <w:spacing w:before="75" w:after="75" w:line="360" w:lineRule="auto"/>
        <w:ind w:firstLine="422" w:firstLineChars="200"/>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供应商代表签字： _________________</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br w:type="textWrapping"/>
      </w:r>
    </w:p>
    <w:p>
      <w:pPr>
        <w:keepNext w:val="0"/>
        <w:keepLines w:val="0"/>
        <w:pageBreakBefore w:val="0"/>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b/>
          <w:bCs/>
          <w:color w:val="auto"/>
          <w:kern w:val="0"/>
          <w:sz w:val="24"/>
          <w:szCs w:val="24"/>
        </w:rPr>
      </w:pPr>
      <w:r>
        <w:rPr>
          <w:rFonts w:hint="eastAsia" w:ascii="宋体" w:hAnsi="宋体" w:eastAsia="宋体" w:cs="宋体"/>
          <w:color w:val="auto"/>
          <w:kern w:val="0"/>
          <w:sz w:val="24"/>
          <w:szCs w:val="24"/>
        </w:rPr>
        <w:t>附件</w:t>
      </w: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 xml:space="preserve">    </w:t>
      </w: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color w:val="auto"/>
          <w:kern w:val="0"/>
          <w:sz w:val="28"/>
          <w:szCs w:val="28"/>
        </w:rPr>
      </w:pPr>
      <w:r>
        <w:rPr>
          <w:rFonts w:hint="eastAsia" w:ascii="宋体" w:hAnsi="宋体" w:eastAsia="宋体" w:cs="宋体"/>
          <w:b/>
          <w:bCs/>
          <w:color w:val="auto"/>
          <w:kern w:val="0"/>
          <w:sz w:val="28"/>
          <w:szCs w:val="28"/>
        </w:rPr>
        <w:t>相关技术、商务、服务响应承诺及资料</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说明：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2.如果没有特别要求的，供应商根据谈判文件的要求以及特点，提供相关技术、商务、服务响应承诺及资料，格式自拟。</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       （全称并加盖公章）</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br w:type="textWrapping"/>
      </w:r>
    </w:p>
    <w:p>
      <w:pPr>
        <w:keepNext w:val="0"/>
        <w:keepLines w:val="0"/>
        <w:pageBreakBefore w:val="0"/>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color w:val="auto"/>
          <w:kern w:val="0"/>
          <w:sz w:val="24"/>
          <w:szCs w:val="24"/>
        </w:rPr>
      </w:pPr>
      <w:r>
        <w:rPr>
          <w:rFonts w:hint="eastAsia" w:ascii="宋体" w:hAnsi="宋体" w:eastAsia="宋体" w:cs="宋体"/>
          <w:color w:val="auto"/>
          <w:kern w:val="0"/>
          <w:sz w:val="24"/>
          <w:szCs w:val="24"/>
        </w:rPr>
        <w:t>附件</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color w:val="auto"/>
          <w:kern w:val="0"/>
          <w:sz w:val="28"/>
          <w:szCs w:val="28"/>
        </w:rPr>
      </w:pPr>
      <w:r>
        <w:rPr>
          <w:rFonts w:hint="eastAsia" w:ascii="宋体" w:hAnsi="宋体" w:eastAsia="宋体" w:cs="宋体"/>
          <w:b/>
          <w:bCs/>
          <w:color w:val="auto"/>
          <w:kern w:val="0"/>
          <w:sz w:val="28"/>
          <w:szCs w:val="28"/>
        </w:rPr>
        <w:t>供应商提交符合政府采购政策的证明材料</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附件</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-1-1        </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24"/>
          <w:szCs w:val="24"/>
        </w:rPr>
      </w:pPr>
      <w:r>
        <w:rPr>
          <w:rFonts w:hint="eastAsia" w:ascii="宋体" w:hAnsi="宋体" w:eastAsia="宋体" w:cs="宋体"/>
          <w:b/>
          <w:bCs/>
          <w:color w:val="auto"/>
          <w:kern w:val="0"/>
          <w:sz w:val="28"/>
          <w:szCs w:val="28"/>
        </w:rPr>
        <w:t>中小企业声明函（若有）</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ind w:firstLine="48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本公司郑重声明，根据《政府采购促进中小企业发展暂行办法》（财库〔2011〕181号）的规定，本公司为                （请填写：中型、小型、微型）企业。即，本公司同时满足以下条件：</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1.根据《工业和信息化部、国家统计局、国家发展和改革委员会、财政部关于印发中小企业划型标准规定的通知》（工信部联企业〔2011〕300号）规定的划分标准，本公司为           （请填写：中型、小型、微型）企业。</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2.本公司参加         单位的            项目采购活动提供本企业制造的货物，由本企业承担工程、提供服务，或者提供其他              （请填写：中型、小型、微型）企业制造的货物。本条所称货物不包括使用大型企业注册商标的货物。</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本公司对上述声明的真实性负责。如有虚假，将依法承担相应责任。</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日  期：     年    月    日</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注：需另附下表</w:t>
      </w:r>
    </w:p>
    <w:tbl>
      <w:tblPr>
        <w:tblStyle w:val="10"/>
        <w:tblW w:w="8807"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30"/>
        <w:gridCol w:w="855"/>
        <w:gridCol w:w="570"/>
        <w:gridCol w:w="630"/>
        <w:gridCol w:w="750"/>
        <w:gridCol w:w="765"/>
        <w:gridCol w:w="1020"/>
        <w:gridCol w:w="3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0" w:hRule="atLeast"/>
          <w:tblCellSpacing w:w="15" w:type="dxa"/>
        </w:trPr>
        <w:tc>
          <w:tcPr>
            <w:tcW w:w="7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合同包/品目号</w:t>
            </w:r>
          </w:p>
        </w:tc>
        <w:tc>
          <w:tcPr>
            <w:tcW w:w="82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响应产品名称</w:t>
            </w:r>
          </w:p>
        </w:tc>
        <w:tc>
          <w:tcPr>
            <w:tcW w:w="54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ind w:left="15"/>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品牌型号</w:t>
            </w:r>
          </w:p>
        </w:tc>
        <w:tc>
          <w:tcPr>
            <w:tcW w:w="60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ind w:left="15"/>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72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ind w:left="15"/>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最后报价单价</w:t>
            </w:r>
          </w:p>
        </w:tc>
        <w:tc>
          <w:tcPr>
            <w:tcW w:w="73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ind w:left="15"/>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最后报价总价</w:t>
            </w:r>
          </w:p>
        </w:tc>
        <w:tc>
          <w:tcPr>
            <w:tcW w:w="99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响应产品的生产或供应企业</w:t>
            </w:r>
          </w:p>
        </w:tc>
        <w:tc>
          <w:tcPr>
            <w:tcW w:w="334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0" w:hRule="atLeast"/>
          <w:tblCellSpacing w:w="15" w:type="dxa"/>
        </w:trPr>
        <w:tc>
          <w:tcPr>
            <w:tcW w:w="78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82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54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60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72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735"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990"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334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所报价产品的生产或供应企业类型为：     （请填写中型、小型、微型企业）</w:t>
            </w:r>
          </w:p>
        </w:tc>
      </w:tr>
    </w:tbl>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备注：：（1）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供应商应认真对照《工业和信息化部、国家统计局、国家发展和改革委员会、财政部关于印发中小企业划型标准规定的通知》（工信部联企业[2011]300号）规定的划分标准，并按照国家统计局现行的关于统计上大中小微型企业划分办法的有关规定准确划分企业类型。</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（3）供应商为监狱企业的，可不填写本声明函。根据其提供的由省级以上监狱管理局、戒毒管理局（含新疆生产建设兵团）出具的属于监狱企业的证明文件进行认定，监狱企业视同小型、微型企业。 </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（4）供应商为残疾人福利性单位的，可不填写本声明函，根据其提供的《残疾人福利性单位声明函》（格式附后）进行认定，残疾人福利性单位视同小型、微型企业。</w:t>
      </w:r>
    </w:p>
    <w:p>
      <w:pPr>
        <w:keepNext w:val="0"/>
        <w:keepLines w:val="0"/>
        <w:pageBreakBefore w:val="0"/>
        <w:widowControl/>
        <w:kinsoku/>
        <w:wordWrap/>
        <w:overflowPunct/>
        <w:topLinePunct w:val="0"/>
        <w:bidi w:val="0"/>
        <w:snapToGrid/>
        <w:spacing w:before="75" w:after="75" w:line="360" w:lineRule="auto"/>
        <w:textAlignment w:val="auto"/>
        <w:rPr>
          <w:rFonts w:hint="eastAsia"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textAlignment w:val="auto"/>
        <w:rPr>
          <w:rFonts w:hint="eastAsia"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textAlignment w:val="auto"/>
        <w:rPr>
          <w:rFonts w:hint="eastAsia"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附件</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-1-2</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color w:val="auto"/>
          <w:kern w:val="0"/>
          <w:sz w:val="24"/>
          <w:szCs w:val="24"/>
        </w:rPr>
      </w:pPr>
      <w:r>
        <w:rPr>
          <w:rFonts w:hint="eastAsia" w:ascii="宋体" w:hAnsi="宋体" w:eastAsia="宋体" w:cs="宋体"/>
          <w:b/>
          <w:bCs/>
          <w:color w:val="auto"/>
          <w:kern w:val="0"/>
          <w:sz w:val="28"/>
          <w:szCs w:val="28"/>
        </w:rPr>
        <w:t>残疾人福利性单位声明函（若有）</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 </w:t>
      </w:r>
    </w:p>
    <w:p>
      <w:pPr>
        <w:keepNext w:val="0"/>
        <w:keepLines w:val="0"/>
        <w:pageBreakBefore w:val="0"/>
        <w:widowControl/>
        <w:kinsoku/>
        <w:wordWrap/>
        <w:overflowPunct/>
        <w:topLinePunct w:val="0"/>
        <w:bidi w:val="0"/>
        <w:snapToGrid/>
        <w:spacing w:before="75" w:after="75" w:line="360" w:lineRule="auto"/>
        <w:ind w:firstLine="480" w:firstLineChars="20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本供应商郑重声明，根据《财政部 民政部 中国残疾人联合会关于促进残疾人就业政府采购政策的通知》（财库[2017]141号）的规定，本供应商为符合条件的残疾人福利性单位，且本供应商参加贵单位的（填写“项目名称”）项目采购活动：</w:t>
      </w:r>
    </w:p>
    <w:p>
      <w:pPr>
        <w:keepNext w:val="0"/>
        <w:keepLines w:val="0"/>
        <w:pageBreakBefore w:val="0"/>
        <w:widowControl/>
        <w:kinsoku/>
        <w:wordWrap/>
        <w:overflowPunct/>
        <w:topLinePunct w:val="0"/>
        <w:bidi w:val="0"/>
        <w:snapToGrid/>
        <w:spacing w:before="75" w:after="75" w:line="360" w:lineRule="auto"/>
        <w:ind w:firstLine="42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）提供本供应商制造的（填写“所投合同包、品目号”）货物，</w:t>
      </w:r>
    </w:p>
    <w:p>
      <w:pPr>
        <w:keepNext w:val="0"/>
        <w:keepLines w:val="0"/>
        <w:pageBreakBefore w:val="0"/>
        <w:widowControl/>
        <w:kinsoku/>
        <w:wordWrap/>
        <w:overflowPunct/>
        <w:topLinePunct w:val="0"/>
        <w:bidi w:val="0"/>
        <w:snapToGrid/>
        <w:spacing w:before="75" w:after="75" w:line="360" w:lineRule="auto"/>
        <w:ind w:firstLine="42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）由本供应商承担的（填写“所投合同包、品目号”）工程，</w:t>
      </w:r>
    </w:p>
    <w:p>
      <w:pPr>
        <w:keepNext w:val="0"/>
        <w:keepLines w:val="0"/>
        <w:pageBreakBefore w:val="0"/>
        <w:widowControl/>
        <w:kinsoku/>
        <w:wordWrap/>
        <w:overflowPunct/>
        <w:topLinePunct w:val="0"/>
        <w:bidi w:val="0"/>
        <w:snapToGrid/>
        <w:spacing w:before="75" w:after="75" w:line="360" w:lineRule="auto"/>
        <w:ind w:firstLine="42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）由本供应商提供的（填写“所投合同包、品目号”）服务；或</w:t>
      </w:r>
    </w:p>
    <w:p>
      <w:pPr>
        <w:keepNext w:val="0"/>
        <w:keepLines w:val="0"/>
        <w:pageBreakBefore w:val="0"/>
        <w:widowControl/>
        <w:kinsoku/>
        <w:wordWrap/>
        <w:overflowPunct/>
        <w:topLinePunct w:val="0"/>
        <w:bidi w:val="0"/>
        <w:snapToGrid/>
        <w:spacing w:before="75" w:after="75" w:line="360" w:lineRule="auto"/>
        <w:ind w:firstLine="42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）提供其他残疾人福利性单位制造的（填写“所投合同包、品目号”）货物（不包括使用非残疾人福利性单位注册商标的货物）。</w:t>
      </w:r>
    </w:p>
    <w:p>
      <w:pPr>
        <w:keepNext w:val="0"/>
        <w:keepLines w:val="0"/>
        <w:pageBreakBefore w:val="0"/>
        <w:widowControl/>
        <w:kinsoku/>
        <w:wordWrap/>
        <w:overflowPunct/>
        <w:topLinePunct w:val="0"/>
        <w:bidi w:val="0"/>
        <w:snapToGrid/>
        <w:spacing w:before="75" w:after="75" w:line="360" w:lineRule="auto"/>
        <w:ind w:firstLine="42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本供应商对上述声明的真实性负责。如有虚假，将依法承担相应责任。</w:t>
      </w:r>
    </w:p>
    <w:p>
      <w:pPr>
        <w:keepNext w:val="0"/>
        <w:keepLines w:val="0"/>
        <w:pageBreakBefore w:val="0"/>
        <w:widowControl/>
        <w:kinsoku/>
        <w:wordWrap/>
        <w:overflowPunct/>
        <w:topLinePunct w:val="0"/>
        <w:bidi w:val="0"/>
        <w:snapToGrid/>
        <w:spacing w:before="75" w:after="75" w:line="360" w:lineRule="auto"/>
        <w:ind w:firstLine="420"/>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日  期：     年    月    日</w:t>
      </w:r>
    </w:p>
    <w:p>
      <w:pPr>
        <w:pStyle w:val="2"/>
        <w:keepNext w:val="0"/>
        <w:keepLines w:val="0"/>
        <w:pageBreakBefore w:val="0"/>
        <w:kinsoku/>
        <w:wordWrap/>
        <w:overflowPunct/>
        <w:topLinePunct w:val="0"/>
        <w:bidi w:val="0"/>
        <w:snapToGrid/>
        <w:spacing w:line="360" w:lineRule="auto"/>
        <w:textAlignment w:val="auto"/>
        <w:rPr>
          <w:color w:val="auto"/>
        </w:rPr>
      </w:pP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备注：（1）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（2）请供应商按照实际情况编制填写本声明函，并在相应的（）中打“√”。</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（3）纸质响应文件正本中的本声明函（若有）应为原件。</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（4）若《残疾人福利性单位声明函》内容不真实，视为提供虚假材料。</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附件</w:t>
      </w:r>
      <w:r>
        <w:rPr>
          <w:rFonts w:hint="eastAsia" w:ascii="宋体" w:hAnsi="宋体" w:eastAsia="宋体" w:cs="宋体"/>
          <w:color w:val="auto"/>
          <w:kern w:val="0"/>
          <w:sz w:val="24"/>
          <w:szCs w:val="24"/>
          <w:lang w:val="en-US" w:eastAsia="zh-CN"/>
        </w:rPr>
        <w:t>6</w:t>
      </w:r>
      <w:r>
        <w:rPr>
          <w:rFonts w:hint="eastAsia" w:ascii="宋体" w:hAnsi="宋体" w:eastAsia="宋体" w:cs="宋体"/>
          <w:color w:val="auto"/>
          <w:kern w:val="0"/>
          <w:sz w:val="24"/>
          <w:szCs w:val="24"/>
        </w:rPr>
        <w:t>-2</w:t>
      </w:r>
    </w:p>
    <w:p>
      <w:pPr>
        <w:keepNext w:val="0"/>
        <w:keepLines w:val="0"/>
        <w:pageBreakBefore w:val="0"/>
        <w:widowControl/>
        <w:kinsoku/>
        <w:wordWrap/>
        <w:overflowPunct/>
        <w:topLinePunct w:val="0"/>
        <w:bidi w:val="0"/>
        <w:snapToGrid/>
        <w:spacing w:before="75" w:after="75" w:line="360" w:lineRule="auto"/>
        <w:jc w:val="center"/>
        <w:textAlignment w:val="auto"/>
        <w:rPr>
          <w:rFonts w:ascii="宋体" w:hAnsi="宋体" w:eastAsia="宋体" w:cs="宋体"/>
          <w:color w:val="auto"/>
          <w:kern w:val="0"/>
          <w:sz w:val="28"/>
          <w:szCs w:val="28"/>
        </w:rPr>
      </w:pPr>
      <w:r>
        <w:rPr>
          <w:rFonts w:hint="eastAsia" w:ascii="宋体" w:hAnsi="宋体" w:eastAsia="宋体" w:cs="宋体"/>
          <w:b/>
          <w:bCs/>
          <w:color w:val="auto"/>
          <w:kern w:val="0"/>
          <w:sz w:val="28"/>
          <w:szCs w:val="28"/>
        </w:rPr>
        <w:t>优先类节能产品、环境标志产品价格扣除证明材料（若有）</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tbl>
      <w:tblPr>
        <w:tblStyle w:val="10"/>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4"/>
        <w:gridCol w:w="1211"/>
        <w:gridCol w:w="1207"/>
        <w:gridCol w:w="1217"/>
        <w:gridCol w:w="1207"/>
        <w:gridCol w:w="1217"/>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7251" w:type="dxa"/>
            <w:gridSpan w:val="6"/>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合同包</w:t>
            </w:r>
          </w:p>
        </w:tc>
        <w:tc>
          <w:tcPr>
            <w:tcW w:w="1181"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品目号</w:t>
            </w:r>
          </w:p>
        </w:tc>
        <w:tc>
          <w:tcPr>
            <w:tcW w:w="117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产品名称</w:t>
            </w:r>
          </w:p>
        </w:tc>
        <w:tc>
          <w:tcPr>
            <w:tcW w:w="118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最后报价单价</w:t>
            </w:r>
          </w:p>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（现场）</w:t>
            </w:r>
          </w:p>
        </w:tc>
        <w:tc>
          <w:tcPr>
            <w:tcW w:w="117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数量</w:t>
            </w:r>
          </w:p>
        </w:tc>
        <w:tc>
          <w:tcPr>
            <w:tcW w:w="118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最后报价总价</w:t>
            </w:r>
          </w:p>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（现场）</w:t>
            </w:r>
          </w:p>
        </w:tc>
        <w:tc>
          <w:tcPr>
            <w:tcW w:w="119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vMerge w:val="restart"/>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181"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117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18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17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18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19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vMerge w:val="continue"/>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181"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w:t>
            </w:r>
          </w:p>
        </w:tc>
        <w:tc>
          <w:tcPr>
            <w:tcW w:w="117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18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17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187"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c>
          <w:tcPr>
            <w:tcW w:w="1192"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179" w:type="dxa"/>
            <w:tcMar>
              <w:top w:w="0" w:type="dxa"/>
              <w:left w:w="105" w:type="dxa"/>
              <w:bottom w:w="0" w:type="dxa"/>
              <w:right w:w="105" w:type="dxa"/>
            </w:tcMar>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备注</w:t>
            </w:r>
          </w:p>
        </w:tc>
        <w:tc>
          <w:tcPr>
            <w:tcW w:w="7251" w:type="dxa"/>
            <w:gridSpan w:val="6"/>
            <w:tcMar>
              <w:top w:w="0" w:type="dxa"/>
              <w:left w:w="105" w:type="dxa"/>
              <w:bottom w:w="0" w:type="dxa"/>
              <w:right w:w="105" w:type="dxa"/>
            </w:tcMar>
          </w:tcPr>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a.本合同包内属于节能、环境标志产品的合计最后报价总金额：      ；</w:t>
            </w:r>
          </w:p>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b.本合同包最后报价总价：            ；</w:t>
            </w:r>
          </w:p>
          <w:p>
            <w:pPr>
              <w:keepNext w:val="0"/>
              <w:keepLines w:val="0"/>
              <w:pageBreakBefore w:val="0"/>
              <w:widowControl/>
              <w:kinsoku/>
              <w:wordWrap/>
              <w:overflowPunct/>
              <w:topLinePunct w:val="0"/>
              <w:bidi w:val="0"/>
              <w:snapToGrid/>
              <w:spacing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c.本合同包内属于节能、环境标志产品的合计最后报价总金额占本合同包最后报价总价的比例（以%列示）：           。</w:t>
            </w:r>
          </w:p>
        </w:tc>
      </w:tr>
    </w:tbl>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★注意：</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3、具体统计、计算：</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3.1若同一合同包内的单个或多个货物取得或同时取得节能、环境标志产品等两项或多项认证的，均按照单个货物对应一项认证的原则统计、计算1次。</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3.2计算结果若除不尽，可四舍五入保留到小数点后两位。</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3.3供应商应按照谈判文件上表要求认真统计、计算，否则谈判小组可不予认定。</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3.4若无节能、环境标志产品，不填写本表，否则，视为提供虚假材料。</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3.5强制类节能产品不享受价格扣除。</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4、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keepNext w:val="0"/>
        <w:keepLines w:val="0"/>
        <w:pageBreakBefore w:val="0"/>
        <w:widowControl/>
        <w:kinsoku/>
        <w:wordWrap/>
        <w:overflowPunct/>
        <w:topLinePunct w:val="0"/>
        <w:bidi w:val="0"/>
        <w:snapToGrid/>
        <w:spacing w:before="75" w:after="75" w:line="360" w:lineRule="auto"/>
        <w:ind w:firstLine="480" w:firstLineChars="20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5、纸质响应文件正本中的本表（若有）应为原件。</w:t>
      </w:r>
    </w:p>
    <w:p>
      <w:pPr>
        <w:pStyle w:val="2"/>
        <w:keepNext w:val="0"/>
        <w:keepLines w:val="0"/>
        <w:pageBreakBefore w:val="0"/>
        <w:kinsoku/>
        <w:wordWrap/>
        <w:overflowPunct/>
        <w:topLinePunct w:val="0"/>
        <w:bidi w:val="0"/>
        <w:snapToGrid/>
        <w:spacing w:line="360" w:lineRule="auto"/>
        <w:textAlignment w:val="auto"/>
        <w:rPr>
          <w:rFonts w:ascii="宋体" w:hAnsi="宋体" w:cs="宋体"/>
          <w:color w:val="auto"/>
        </w:rPr>
      </w:pPr>
    </w:p>
    <w:p>
      <w:pPr>
        <w:pStyle w:val="2"/>
        <w:keepNext w:val="0"/>
        <w:keepLines w:val="0"/>
        <w:pageBreakBefore w:val="0"/>
        <w:kinsoku/>
        <w:wordWrap/>
        <w:overflowPunct/>
        <w:topLinePunct w:val="0"/>
        <w:bidi w:val="0"/>
        <w:snapToGrid/>
        <w:spacing w:line="360" w:lineRule="auto"/>
        <w:textAlignment w:val="auto"/>
        <w:rPr>
          <w:rFonts w:ascii="宋体" w:hAnsi="宋体" w:cs="宋体"/>
          <w:color w:val="auto"/>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 </w:t>
      </w:r>
    </w:p>
    <w:p>
      <w:pPr>
        <w:pStyle w:val="2"/>
        <w:keepNext w:val="0"/>
        <w:keepLines w:val="0"/>
        <w:pageBreakBefore w:val="0"/>
        <w:kinsoku/>
        <w:wordWrap/>
        <w:overflowPunct/>
        <w:topLinePunct w:val="0"/>
        <w:bidi w:val="0"/>
        <w:snapToGrid/>
        <w:spacing w:line="360" w:lineRule="auto"/>
        <w:textAlignment w:val="auto"/>
        <w:rPr>
          <w:color w:val="auto"/>
        </w:rPr>
      </w:pP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日  期：     年    月    日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br w:type="textWrapping"/>
      </w:r>
    </w:p>
    <w:p>
      <w:pPr>
        <w:keepNext w:val="0"/>
        <w:keepLines w:val="0"/>
        <w:pageBreakBefore w:val="0"/>
        <w:kinsoku/>
        <w:wordWrap/>
        <w:overflowPunct/>
        <w:topLinePunct w:val="0"/>
        <w:bidi w:val="0"/>
        <w:snapToGrid/>
        <w:spacing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br w:type="page"/>
      </w:r>
    </w:p>
    <w:p>
      <w:pPr>
        <w:keepNext w:val="0"/>
        <w:keepLines w:val="0"/>
        <w:pageBreakBefore w:val="0"/>
        <w:widowControl/>
        <w:kinsoku/>
        <w:wordWrap/>
        <w:overflowPunct/>
        <w:topLinePunct w:val="0"/>
        <w:bidi w:val="0"/>
        <w:snapToGrid/>
        <w:spacing w:before="75" w:after="75" w:line="360" w:lineRule="auto"/>
        <w:jc w:val="left"/>
        <w:textAlignment w:val="auto"/>
        <w:outlineLvl w:val="1"/>
        <w:rPr>
          <w:rFonts w:ascii="宋体" w:hAnsi="宋体" w:eastAsia="宋体" w:cs="宋体"/>
          <w:color w:val="auto"/>
          <w:kern w:val="0"/>
          <w:sz w:val="24"/>
          <w:szCs w:val="24"/>
        </w:rPr>
      </w:pPr>
      <w:r>
        <w:rPr>
          <w:rFonts w:hint="eastAsia" w:ascii="宋体" w:hAnsi="宋体" w:eastAsia="宋体" w:cs="宋体"/>
          <w:color w:val="auto"/>
          <w:kern w:val="0"/>
          <w:sz w:val="24"/>
          <w:szCs w:val="24"/>
        </w:rPr>
        <w:t>附件</w:t>
      </w:r>
      <w:r>
        <w:rPr>
          <w:rFonts w:hint="eastAsia"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center"/>
        <w:textAlignment w:val="auto"/>
        <w:outlineLvl w:val="1"/>
        <w:rPr>
          <w:rFonts w:ascii="宋体" w:hAnsi="宋体" w:eastAsia="宋体" w:cs="宋体"/>
          <w:color w:val="auto"/>
          <w:kern w:val="0"/>
          <w:sz w:val="28"/>
          <w:szCs w:val="28"/>
        </w:rPr>
      </w:pPr>
      <w:r>
        <w:rPr>
          <w:rFonts w:hint="eastAsia" w:ascii="宋体" w:hAnsi="宋体" w:eastAsia="宋体" w:cs="宋体"/>
          <w:b/>
          <w:bCs/>
          <w:color w:val="auto"/>
          <w:kern w:val="0"/>
          <w:sz w:val="28"/>
          <w:szCs w:val="28"/>
        </w:rPr>
        <w:t>要求作为响应文件组成部分的其他内容（若有）</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说明：</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keepNext w:val="0"/>
        <w:keepLines w:val="0"/>
        <w:pageBreakBefore w:val="0"/>
        <w:widowControl/>
        <w:kinsoku/>
        <w:wordWrap/>
        <w:overflowPunct/>
        <w:topLinePunct w:val="0"/>
        <w:bidi w:val="0"/>
        <w:snapToGrid/>
        <w:spacing w:before="75" w:after="75" w:line="360" w:lineRule="auto"/>
        <w:ind w:firstLine="480"/>
        <w:jc w:val="left"/>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2、供应商根据自身实际情况编写有关资料包括如供应商单位简介、竞争性谈判文件要求提供或供应商自已认为体现自身优势，需要补充说明的其它资料，格式自拟。</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供应商代表：          （签字）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供应商名称：       （全称并加盖公章）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keepNext w:val="0"/>
        <w:keepLines w:val="0"/>
        <w:pageBreakBefore w:val="0"/>
        <w:widowControl/>
        <w:kinsoku/>
        <w:wordWrap/>
        <w:overflowPunct/>
        <w:topLinePunct w:val="0"/>
        <w:bidi w:val="0"/>
        <w:snapToGrid/>
        <w:spacing w:before="75" w:after="75" w:line="360" w:lineRule="auto"/>
        <w:textAlignment w:val="auto"/>
        <w:rPr>
          <w:rFonts w:ascii="宋体" w:hAnsi="宋体" w:eastAsia="宋体" w:cs="宋体"/>
          <w:color w:val="auto"/>
          <w:kern w:val="0"/>
          <w:sz w:val="24"/>
          <w:szCs w:val="24"/>
        </w:rPr>
      </w:pPr>
      <w:r>
        <w:rPr>
          <w:rFonts w:hint="eastAsia" w:ascii="宋体" w:hAnsi="宋体" w:eastAsia="宋体" w:cs="宋体"/>
          <w:color w:val="auto"/>
          <w:kern w:val="0"/>
          <w:sz w:val="24"/>
          <w:szCs w:val="24"/>
        </w:rPr>
        <w:t>日  期：     年    月    日</w:t>
      </w:r>
    </w:p>
    <w:p>
      <w:pPr>
        <w:widowControl/>
        <w:spacing w:before="75" w:after="75"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widowControl/>
        <w:spacing w:before="75" w:after="75"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 </w:t>
      </w:r>
    </w:p>
    <w:p>
      <w:pPr>
        <w:widowControl/>
        <w:spacing w:before="75" w:after="75" w:line="360" w:lineRule="auto"/>
        <w:jc w:val="left"/>
        <w:rPr>
          <w:rFonts w:ascii="宋体" w:hAnsi="宋体" w:eastAsia="宋体" w:cs="宋体"/>
          <w:color w:val="auto"/>
          <w:kern w:val="0"/>
          <w:sz w:val="24"/>
          <w:szCs w:val="24"/>
        </w:rPr>
      </w:pPr>
    </w:p>
    <w:bookmarkEnd w:id="0"/>
    <w:sectPr>
      <w:footerReference r:id="rId5" w:type="default"/>
      <w:pgSz w:w="11906" w:h="16838"/>
      <w:pgMar w:top="1440" w:right="1803" w:bottom="1440" w:left="1803"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75</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rPr>
        <w:rFonts w:asciiTheme="minorEastAsia" w:hAnsiTheme="minorEastAsia" w:cstheme="minorEastAsia"/>
        <w:sz w:val="20"/>
        <w:szCs w:val="20"/>
      </w:rPr>
    </w:pPr>
    <w:r>
      <w:rPr>
        <w:rFonts w:hint="eastAsia" w:asciiTheme="minorEastAsia" w:hAnsiTheme="minorEastAsia" w:cstheme="minorEastAsia"/>
        <w:sz w:val="20"/>
        <w:szCs w:val="20"/>
      </w:rPr>
      <w:t>福建丰盛项目管理有限公司采购文件                                     0595-22896657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C1673E"/>
    <w:multiLevelType w:val="singleLevel"/>
    <w:tmpl w:val="CBC1673E"/>
    <w:lvl w:ilvl="0" w:tentative="0">
      <w:start w:val="7"/>
      <w:numFmt w:val="decimal"/>
      <w:suff w:val="nothing"/>
      <w:lvlText w:val="%1、"/>
      <w:lvlJc w:val="left"/>
    </w:lvl>
  </w:abstractNum>
  <w:abstractNum w:abstractNumId="1">
    <w:nsid w:val="CBE62B4A"/>
    <w:multiLevelType w:val="singleLevel"/>
    <w:tmpl w:val="CBE62B4A"/>
    <w:lvl w:ilvl="0" w:tentative="0">
      <w:start w:val="1"/>
      <w:numFmt w:val="decimal"/>
      <w:suff w:val="space"/>
      <w:lvlText w:val="（%1）"/>
      <w:lvlJc w:val="left"/>
    </w:lvl>
  </w:abstractNum>
  <w:abstractNum w:abstractNumId="2">
    <w:nsid w:val="D9C38517"/>
    <w:multiLevelType w:val="singleLevel"/>
    <w:tmpl w:val="D9C38517"/>
    <w:lvl w:ilvl="0" w:tentative="0">
      <w:start w:val="1"/>
      <w:numFmt w:val="chineseCounting"/>
      <w:suff w:val="nothing"/>
      <w:lvlText w:val="%1、"/>
      <w:lvlJc w:val="left"/>
      <w:rPr>
        <w:rFonts w:hint="eastAsia"/>
      </w:rPr>
    </w:lvl>
  </w:abstractNum>
  <w:abstractNum w:abstractNumId="3">
    <w:nsid w:val="DD36C13B"/>
    <w:multiLevelType w:val="singleLevel"/>
    <w:tmpl w:val="DD36C13B"/>
    <w:lvl w:ilvl="0" w:tentative="0">
      <w:start w:val="1"/>
      <w:numFmt w:val="decimal"/>
      <w:lvlText w:val="(%1)"/>
      <w:lvlJc w:val="left"/>
      <w:pPr>
        <w:tabs>
          <w:tab w:val="left" w:pos="312"/>
        </w:tabs>
      </w:pPr>
    </w:lvl>
  </w:abstractNum>
  <w:abstractNum w:abstractNumId="4">
    <w:nsid w:val="F34E484A"/>
    <w:multiLevelType w:val="singleLevel"/>
    <w:tmpl w:val="F34E484A"/>
    <w:lvl w:ilvl="0" w:tentative="0">
      <w:start w:val="2"/>
      <w:numFmt w:val="decimal"/>
      <w:suff w:val="nothing"/>
      <w:lvlText w:val="%1、"/>
      <w:lvlJc w:val="left"/>
    </w:lvl>
  </w:abstractNum>
  <w:abstractNum w:abstractNumId="5">
    <w:nsid w:val="13ACC2A3"/>
    <w:multiLevelType w:val="singleLevel"/>
    <w:tmpl w:val="13ACC2A3"/>
    <w:lvl w:ilvl="0" w:tentative="0">
      <w:start w:val="10"/>
      <w:numFmt w:val="decimal"/>
      <w:lvlText w:val="%1."/>
      <w:lvlJc w:val="left"/>
      <w:pPr>
        <w:tabs>
          <w:tab w:val="left" w:pos="312"/>
        </w:tabs>
      </w:pPr>
    </w:lvl>
  </w:abstractNum>
  <w:abstractNum w:abstractNumId="6">
    <w:nsid w:val="1A13DBA1"/>
    <w:multiLevelType w:val="singleLevel"/>
    <w:tmpl w:val="1A13DBA1"/>
    <w:lvl w:ilvl="0" w:tentative="0">
      <w:start w:val="1"/>
      <w:numFmt w:val="decimal"/>
      <w:suff w:val="space"/>
      <w:lvlText w:val="%1."/>
      <w:lvlJc w:val="left"/>
    </w:lvl>
  </w:abstractNum>
  <w:abstractNum w:abstractNumId="7">
    <w:nsid w:val="51226A01"/>
    <w:multiLevelType w:val="singleLevel"/>
    <w:tmpl w:val="51226A01"/>
    <w:lvl w:ilvl="0" w:tentative="0">
      <w:start w:val="1"/>
      <w:numFmt w:val="decimal"/>
      <w:lvlText w:val="%1)"/>
      <w:lvlJc w:val="left"/>
      <w:pPr>
        <w:tabs>
          <w:tab w:val="left" w:pos="312"/>
        </w:tabs>
      </w:pPr>
    </w:lvl>
  </w:abstractNum>
  <w:abstractNum w:abstractNumId="8">
    <w:nsid w:val="5F94810B"/>
    <w:multiLevelType w:val="singleLevel"/>
    <w:tmpl w:val="5F94810B"/>
    <w:lvl w:ilvl="0" w:tentative="0">
      <w:start w:val="1"/>
      <w:numFmt w:val="chineseCounting"/>
      <w:suff w:val="nothing"/>
      <w:lvlText w:val="%1、"/>
      <w:lvlJc w:val="left"/>
      <w:rPr>
        <w:rFonts w:hint="eastAsia"/>
      </w:rPr>
    </w:lvl>
  </w:abstractNum>
  <w:num w:numId="1">
    <w:abstractNumId w:val="3"/>
  </w:num>
  <w:num w:numId="2">
    <w:abstractNumId w:val="1"/>
  </w:num>
  <w:num w:numId="3">
    <w:abstractNumId w:val="5"/>
  </w:num>
  <w:num w:numId="4">
    <w:abstractNumId w:val="2"/>
  </w:num>
  <w:num w:numId="5">
    <w:abstractNumId w:val="7"/>
  </w:num>
  <w:num w:numId="6">
    <w:abstractNumId w:val="6"/>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41B"/>
    <w:rsid w:val="00000B2A"/>
    <w:rsid w:val="00033A03"/>
    <w:rsid w:val="00072157"/>
    <w:rsid w:val="000B54D2"/>
    <w:rsid w:val="000E36DA"/>
    <w:rsid w:val="001118FF"/>
    <w:rsid w:val="0011541B"/>
    <w:rsid w:val="001256F1"/>
    <w:rsid w:val="00160FAC"/>
    <w:rsid w:val="00163576"/>
    <w:rsid w:val="001743A3"/>
    <w:rsid w:val="001D70A2"/>
    <w:rsid w:val="001F19DD"/>
    <w:rsid w:val="0023003F"/>
    <w:rsid w:val="002363FB"/>
    <w:rsid w:val="00251DCA"/>
    <w:rsid w:val="002753CF"/>
    <w:rsid w:val="002764E1"/>
    <w:rsid w:val="00293A7B"/>
    <w:rsid w:val="002D27E0"/>
    <w:rsid w:val="002D3F33"/>
    <w:rsid w:val="00306F77"/>
    <w:rsid w:val="0037682E"/>
    <w:rsid w:val="003C7A5B"/>
    <w:rsid w:val="003D5A80"/>
    <w:rsid w:val="003F6E65"/>
    <w:rsid w:val="00411293"/>
    <w:rsid w:val="00432D06"/>
    <w:rsid w:val="0045034E"/>
    <w:rsid w:val="004509C3"/>
    <w:rsid w:val="00463A55"/>
    <w:rsid w:val="00484B71"/>
    <w:rsid w:val="004A2835"/>
    <w:rsid w:val="004C4090"/>
    <w:rsid w:val="00500CEA"/>
    <w:rsid w:val="00506E02"/>
    <w:rsid w:val="00531C09"/>
    <w:rsid w:val="005367B5"/>
    <w:rsid w:val="00550CF9"/>
    <w:rsid w:val="00590B46"/>
    <w:rsid w:val="005B2413"/>
    <w:rsid w:val="005D687C"/>
    <w:rsid w:val="005E1216"/>
    <w:rsid w:val="00655775"/>
    <w:rsid w:val="00670871"/>
    <w:rsid w:val="00673D39"/>
    <w:rsid w:val="006B0D23"/>
    <w:rsid w:val="006B0E9B"/>
    <w:rsid w:val="006C545E"/>
    <w:rsid w:val="006E02B0"/>
    <w:rsid w:val="006E32E9"/>
    <w:rsid w:val="006F3DF9"/>
    <w:rsid w:val="0075092A"/>
    <w:rsid w:val="0086300D"/>
    <w:rsid w:val="008A6F49"/>
    <w:rsid w:val="008B4353"/>
    <w:rsid w:val="008E2F50"/>
    <w:rsid w:val="00904AF5"/>
    <w:rsid w:val="00932E45"/>
    <w:rsid w:val="00980F8B"/>
    <w:rsid w:val="009A1839"/>
    <w:rsid w:val="009F048A"/>
    <w:rsid w:val="00A04249"/>
    <w:rsid w:val="00A462BA"/>
    <w:rsid w:val="00A82D5B"/>
    <w:rsid w:val="00AC1D4E"/>
    <w:rsid w:val="00B036C9"/>
    <w:rsid w:val="00B04DD6"/>
    <w:rsid w:val="00B05B38"/>
    <w:rsid w:val="00BD10FC"/>
    <w:rsid w:val="00BD2023"/>
    <w:rsid w:val="00C17ED5"/>
    <w:rsid w:val="00C33A8A"/>
    <w:rsid w:val="00C55046"/>
    <w:rsid w:val="00C70387"/>
    <w:rsid w:val="00CF78A8"/>
    <w:rsid w:val="00D16206"/>
    <w:rsid w:val="00D20FFB"/>
    <w:rsid w:val="00D566A4"/>
    <w:rsid w:val="00D92F47"/>
    <w:rsid w:val="00E22FA9"/>
    <w:rsid w:val="00EC4BA4"/>
    <w:rsid w:val="00F51CEA"/>
    <w:rsid w:val="00FB56AC"/>
    <w:rsid w:val="01B80E49"/>
    <w:rsid w:val="02C747B9"/>
    <w:rsid w:val="032654F5"/>
    <w:rsid w:val="03671E34"/>
    <w:rsid w:val="050713CF"/>
    <w:rsid w:val="052B0AE8"/>
    <w:rsid w:val="05567798"/>
    <w:rsid w:val="05F45AA9"/>
    <w:rsid w:val="06B00B0B"/>
    <w:rsid w:val="06DD4404"/>
    <w:rsid w:val="077F522A"/>
    <w:rsid w:val="07C83A98"/>
    <w:rsid w:val="07CE7E8D"/>
    <w:rsid w:val="0B8D1370"/>
    <w:rsid w:val="0BC71C8C"/>
    <w:rsid w:val="0BF2662E"/>
    <w:rsid w:val="0C0B2FD3"/>
    <w:rsid w:val="0CD97CF4"/>
    <w:rsid w:val="0F4F6777"/>
    <w:rsid w:val="1064307E"/>
    <w:rsid w:val="10672059"/>
    <w:rsid w:val="106C548D"/>
    <w:rsid w:val="1104196E"/>
    <w:rsid w:val="11356FC1"/>
    <w:rsid w:val="116D14FA"/>
    <w:rsid w:val="12412742"/>
    <w:rsid w:val="13BC48BE"/>
    <w:rsid w:val="1456226A"/>
    <w:rsid w:val="145C4F98"/>
    <w:rsid w:val="155A7C67"/>
    <w:rsid w:val="15ED5661"/>
    <w:rsid w:val="16D613E1"/>
    <w:rsid w:val="17207020"/>
    <w:rsid w:val="17525C70"/>
    <w:rsid w:val="18210DD4"/>
    <w:rsid w:val="188520C0"/>
    <w:rsid w:val="190B3989"/>
    <w:rsid w:val="1A3C444C"/>
    <w:rsid w:val="1A8A5926"/>
    <w:rsid w:val="1C2B1FA9"/>
    <w:rsid w:val="1CA82C1E"/>
    <w:rsid w:val="1EA0338F"/>
    <w:rsid w:val="21BE41E3"/>
    <w:rsid w:val="21C1303C"/>
    <w:rsid w:val="21E26C76"/>
    <w:rsid w:val="21E61A2C"/>
    <w:rsid w:val="226E0C23"/>
    <w:rsid w:val="22E47E30"/>
    <w:rsid w:val="233B1031"/>
    <w:rsid w:val="2357659F"/>
    <w:rsid w:val="237A4069"/>
    <w:rsid w:val="24BB5A96"/>
    <w:rsid w:val="252B4B2B"/>
    <w:rsid w:val="257B05B7"/>
    <w:rsid w:val="2623017C"/>
    <w:rsid w:val="26460486"/>
    <w:rsid w:val="26A07F3A"/>
    <w:rsid w:val="26BA550F"/>
    <w:rsid w:val="26C13BBB"/>
    <w:rsid w:val="2721444F"/>
    <w:rsid w:val="2782730B"/>
    <w:rsid w:val="286F75A3"/>
    <w:rsid w:val="28935120"/>
    <w:rsid w:val="2AEB6D8B"/>
    <w:rsid w:val="2C1A697F"/>
    <w:rsid w:val="2C6453D6"/>
    <w:rsid w:val="2D587BEE"/>
    <w:rsid w:val="2D9D7804"/>
    <w:rsid w:val="2DAF2DFB"/>
    <w:rsid w:val="2E713C7D"/>
    <w:rsid w:val="30045079"/>
    <w:rsid w:val="30635D57"/>
    <w:rsid w:val="30831F43"/>
    <w:rsid w:val="30C27650"/>
    <w:rsid w:val="311B7E7D"/>
    <w:rsid w:val="31666475"/>
    <w:rsid w:val="328653A7"/>
    <w:rsid w:val="32A1577A"/>
    <w:rsid w:val="358E794F"/>
    <w:rsid w:val="35B25FDB"/>
    <w:rsid w:val="36086B12"/>
    <w:rsid w:val="383E267D"/>
    <w:rsid w:val="390A6FEF"/>
    <w:rsid w:val="3B5D2595"/>
    <w:rsid w:val="3C274FC9"/>
    <w:rsid w:val="3C7157E9"/>
    <w:rsid w:val="3CA46DEF"/>
    <w:rsid w:val="3DC06423"/>
    <w:rsid w:val="3DDA468B"/>
    <w:rsid w:val="3F3F3914"/>
    <w:rsid w:val="3FB5425D"/>
    <w:rsid w:val="40781F16"/>
    <w:rsid w:val="417F018B"/>
    <w:rsid w:val="42B7439E"/>
    <w:rsid w:val="42BA0990"/>
    <w:rsid w:val="44397E26"/>
    <w:rsid w:val="45A4728F"/>
    <w:rsid w:val="46095E30"/>
    <w:rsid w:val="462E4BB9"/>
    <w:rsid w:val="468D3270"/>
    <w:rsid w:val="47292DC0"/>
    <w:rsid w:val="488132C7"/>
    <w:rsid w:val="4971286A"/>
    <w:rsid w:val="499951CC"/>
    <w:rsid w:val="4B8852FE"/>
    <w:rsid w:val="4CA6289C"/>
    <w:rsid w:val="4D5A6AD9"/>
    <w:rsid w:val="4D987CB9"/>
    <w:rsid w:val="4E527349"/>
    <w:rsid w:val="4F585FF1"/>
    <w:rsid w:val="4FA02727"/>
    <w:rsid w:val="511438DF"/>
    <w:rsid w:val="51C203E4"/>
    <w:rsid w:val="5276504A"/>
    <w:rsid w:val="52B77684"/>
    <w:rsid w:val="5421409F"/>
    <w:rsid w:val="55571296"/>
    <w:rsid w:val="55865F35"/>
    <w:rsid w:val="55A5547E"/>
    <w:rsid w:val="565A3957"/>
    <w:rsid w:val="568A5AC0"/>
    <w:rsid w:val="56C73BD3"/>
    <w:rsid w:val="57756892"/>
    <w:rsid w:val="57F1332C"/>
    <w:rsid w:val="58061EC2"/>
    <w:rsid w:val="59236EB2"/>
    <w:rsid w:val="593F7BCE"/>
    <w:rsid w:val="595A1A60"/>
    <w:rsid w:val="59BD150C"/>
    <w:rsid w:val="5A731E9B"/>
    <w:rsid w:val="5C1A24FF"/>
    <w:rsid w:val="5D313A79"/>
    <w:rsid w:val="5D614811"/>
    <w:rsid w:val="5DA250EE"/>
    <w:rsid w:val="5DAB3FE1"/>
    <w:rsid w:val="5FCF5AB7"/>
    <w:rsid w:val="60313743"/>
    <w:rsid w:val="60666970"/>
    <w:rsid w:val="607F3172"/>
    <w:rsid w:val="61096FFC"/>
    <w:rsid w:val="61F11F87"/>
    <w:rsid w:val="62871873"/>
    <w:rsid w:val="62A86D7E"/>
    <w:rsid w:val="632177F2"/>
    <w:rsid w:val="647362D6"/>
    <w:rsid w:val="6584470E"/>
    <w:rsid w:val="65AB7FC7"/>
    <w:rsid w:val="65D1798A"/>
    <w:rsid w:val="66306BDE"/>
    <w:rsid w:val="66C05BD0"/>
    <w:rsid w:val="6772212D"/>
    <w:rsid w:val="678271F5"/>
    <w:rsid w:val="68044820"/>
    <w:rsid w:val="682D4316"/>
    <w:rsid w:val="685A76E0"/>
    <w:rsid w:val="68BE46ED"/>
    <w:rsid w:val="69276348"/>
    <w:rsid w:val="6A524E7D"/>
    <w:rsid w:val="6AF757DA"/>
    <w:rsid w:val="6B3A7EDB"/>
    <w:rsid w:val="6B7D7909"/>
    <w:rsid w:val="6BEE42EF"/>
    <w:rsid w:val="6C1B4A25"/>
    <w:rsid w:val="6C312126"/>
    <w:rsid w:val="6CA5774E"/>
    <w:rsid w:val="6D6B6371"/>
    <w:rsid w:val="6E3F3DE5"/>
    <w:rsid w:val="6E754E82"/>
    <w:rsid w:val="6E994CD0"/>
    <w:rsid w:val="6FF52E22"/>
    <w:rsid w:val="703C7845"/>
    <w:rsid w:val="7160725D"/>
    <w:rsid w:val="724D7BC2"/>
    <w:rsid w:val="72655DF3"/>
    <w:rsid w:val="73E055E3"/>
    <w:rsid w:val="744578BE"/>
    <w:rsid w:val="74E942CE"/>
    <w:rsid w:val="758401A9"/>
    <w:rsid w:val="75887E06"/>
    <w:rsid w:val="75B007D2"/>
    <w:rsid w:val="75DE1139"/>
    <w:rsid w:val="78AA4C32"/>
    <w:rsid w:val="78ED285B"/>
    <w:rsid w:val="791D0BAD"/>
    <w:rsid w:val="799B00E2"/>
    <w:rsid w:val="7C9507B3"/>
    <w:rsid w:val="7C9E383B"/>
    <w:rsid w:val="7DC23D43"/>
    <w:rsid w:val="7DF765FF"/>
    <w:rsid w:val="7E500951"/>
    <w:rsid w:val="7E706C5E"/>
    <w:rsid w:val="7F423E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link w:val="22"/>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4">
    <w:name w:val="annotation text"/>
    <w:basedOn w:val="1"/>
    <w:link w:val="23"/>
    <w:semiHidden/>
    <w:unhideWhenUsed/>
    <w:qFormat/>
    <w:uiPriority w:val="99"/>
    <w:pPr>
      <w:jc w:val="left"/>
    </w:pPr>
  </w:style>
  <w:style w:type="paragraph" w:styleId="5">
    <w:name w:val="Balloon Text"/>
    <w:basedOn w:val="1"/>
    <w:link w:val="25"/>
    <w:semiHidden/>
    <w:unhideWhenUsed/>
    <w:qFormat/>
    <w:uiPriority w:val="99"/>
    <w:rPr>
      <w:sz w:val="18"/>
      <w:szCs w:val="18"/>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paragraph" w:styleId="9">
    <w:name w:val="annotation subject"/>
    <w:basedOn w:val="4"/>
    <w:next w:val="4"/>
    <w:link w:val="24"/>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FollowedHyperlink"/>
    <w:basedOn w:val="12"/>
    <w:semiHidden/>
    <w:unhideWhenUsed/>
    <w:qFormat/>
    <w:uiPriority w:val="99"/>
    <w:rPr>
      <w:color w:val="666666"/>
      <w:u w:val="none"/>
    </w:rPr>
  </w:style>
  <w:style w:type="character" w:styleId="15">
    <w:name w:val="Emphasis"/>
    <w:basedOn w:val="12"/>
    <w:qFormat/>
    <w:uiPriority w:val="20"/>
  </w:style>
  <w:style w:type="character" w:styleId="16">
    <w:name w:val="HTML Definition"/>
    <w:basedOn w:val="12"/>
    <w:semiHidden/>
    <w:unhideWhenUsed/>
    <w:qFormat/>
    <w:uiPriority w:val="99"/>
    <w:rPr>
      <w:i/>
    </w:rPr>
  </w:style>
  <w:style w:type="character" w:styleId="17">
    <w:name w:val="Hyperlink"/>
    <w:basedOn w:val="12"/>
    <w:semiHidden/>
    <w:unhideWhenUsed/>
    <w:qFormat/>
    <w:uiPriority w:val="99"/>
    <w:rPr>
      <w:color w:val="666666"/>
      <w:u w:val="none"/>
    </w:rPr>
  </w:style>
  <w:style w:type="character" w:styleId="18">
    <w:name w:val="HTML Code"/>
    <w:basedOn w:val="12"/>
    <w:semiHidden/>
    <w:unhideWhenUsed/>
    <w:qFormat/>
    <w:uiPriority w:val="99"/>
    <w:rPr>
      <w:rFonts w:ascii="Consolas" w:hAnsi="Consolas" w:eastAsia="Consolas" w:cs="Consolas"/>
      <w:color w:val="CA4440"/>
      <w:sz w:val="21"/>
      <w:szCs w:val="21"/>
      <w:shd w:val="clear" w:fill="F9F2F4"/>
    </w:rPr>
  </w:style>
  <w:style w:type="character" w:styleId="19">
    <w:name w:val="annotation reference"/>
    <w:basedOn w:val="12"/>
    <w:semiHidden/>
    <w:unhideWhenUsed/>
    <w:qFormat/>
    <w:uiPriority w:val="99"/>
    <w:rPr>
      <w:sz w:val="21"/>
      <w:szCs w:val="21"/>
    </w:rPr>
  </w:style>
  <w:style w:type="character" w:styleId="20">
    <w:name w:val="HTML Keyboard"/>
    <w:basedOn w:val="12"/>
    <w:semiHidden/>
    <w:unhideWhenUsed/>
    <w:qFormat/>
    <w:uiPriority w:val="99"/>
    <w:rPr>
      <w:rFonts w:hint="default" w:ascii="Consolas" w:hAnsi="Consolas" w:eastAsia="Consolas" w:cs="Consolas"/>
      <w:color w:val="FFFFFF"/>
      <w:sz w:val="21"/>
      <w:szCs w:val="21"/>
      <w:shd w:val="clear" w:fill="333333"/>
    </w:rPr>
  </w:style>
  <w:style w:type="character" w:styleId="21">
    <w:name w:val="HTML Sample"/>
    <w:basedOn w:val="12"/>
    <w:semiHidden/>
    <w:unhideWhenUsed/>
    <w:qFormat/>
    <w:uiPriority w:val="99"/>
    <w:rPr>
      <w:rFonts w:hint="default" w:ascii="Consolas" w:hAnsi="Consolas" w:eastAsia="Consolas" w:cs="Consolas"/>
      <w:sz w:val="21"/>
      <w:szCs w:val="21"/>
    </w:rPr>
  </w:style>
  <w:style w:type="character" w:customStyle="1" w:styleId="22">
    <w:name w:val="标题 3 Char"/>
    <w:basedOn w:val="12"/>
    <w:link w:val="3"/>
    <w:qFormat/>
    <w:uiPriority w:val="9"/>
    <w:rPr>
      <w:rFonts w:ascii="宋体" w:hAnsi="宋体" w:eastAsia="宋体" w:cs="宋体"/>
      <w:b/>
      <w:bCs/>
      <w:kern w:val="0"/>
      <w:sz w:val="27"/>
      <w:szCs w:val="27"/>
    </w:rPr>
  </w:style>
  <w:style w:type="character" w:customStyle="1" w:styleId="23">
    <w:name w:val="批注文字 Char"/>
    <w:basedOn w:val="12"/>
    <w:link w:val="4"/>
    <w:semiHidden/>
    <w:qFormat/>
    <w:uiPriority w:val="99"/>
  </w:style>
  <w:style w:type="character" w:customStyle="1" w:styleId="24">
    <w:name w:val="批注主题 Char"/>
    <w:basedOn w:val="23"/>
    <w:link w:val="9"/>
    <w:semiHidden/>
    <w:qFormat/>
    <w:uiPriority w:val="99"/>
    <w:rPr>
      <w:b/>
      <w:bCs/>
    </w:rPr>
  </w:style>
  <w:style w:type="character" w:customStyle="1" w:styleId="25">
    <w:name w:val="批注框文本 Char"/>
    <w:basedOn w:val="12"/>
    <w:link w:val="5"/>
    <w:semiHidden/>
    <w:qFormat/>
    <w:uiPriority w:val="99"/>
    <w:rPr>
      <w:sz w:val="18"/>
      <w:szCs w:val="18"/>
    </w:rPr>
  </w:style>
  <w:style w:type="character" w:customStyle="1" w:styleId="26">
    <w:name w:val="font11"/>
    <w:basedOn w:val="12"/>
    <w:qFormat/>
    <w:uiPriority w:val="0"/>
    <w:rPr>
      <w:rFonts w:hint="eastAsia" w:ascii="宋体" w:hAnsi="宋体" w:eastAsia="宋体" w:cs="宋体"/>
      <w:color w:val="000000"/>
      <w:sz w:val="22"/>
      <w:szCs w:val="22"/>
      <w:u w:val="none"/>
    </w:rPr>
  </w:style>
  <w:style w:type="paragraph" w:customStyle="1" w:styleId="27">
    <w:name w:val="Style1"/>
    <w:basedOn w:val="1"/>
    <w:qFormat/>
    <w:uiPriority w:val="0"/>
    <w:pPr>
      <w:widowControl/>
      <w:tabs>
        <w:tab w:val="left" w:pos="-720"/>
      </w:tabs>
      <w:spacing w:after="120"/>
    </w:pPr>
    <w:rPr>
      <w:spacing w:val="-3"/>
      <w:kern w:val="0"/>
      <w:sz w:val="24"/>
      <w:szCs w:val="20"/>
      <w:lang w:val="en-AU" w:eastAsia="en-US"/>
    </w:rPr>
  </w:style>
  <w:style w:type="character" w:customStyle="1" w:styleId="28">
    <w:name w:val="active"/>
    <w:basedOn w:val="12"/>
    <w:qFormat/>
    <w:uiPriority w:val="0"/>
    <w:rPr>
      <w:shd w:val="clear" w:color="auto" w:fill="EC3535"/>
    </w:rPr>
  </w:style>
  <w:style w:type="character" w:customStyle="1" w:styleId="29">
    <w:name w:val="label10"/>
    <w:basedOn w:val="12"/>
    <w:qFormat/>
    <w:uiPriority w:val="0"/>
  </w:style>
  <w:style w:type="character" w:customStyle="1" w:styleId="30">
    <w:name w:val="label11"/>
    <w:basedOn w:val="12"/>
    <w:qFormat/>
    <w:uiPriority w:val="0"/>
    <w:rPr>
      <w:color w:val="1CC09F"/>
      <w:shd w:val="clear" w:fill="FFFFFF"/>
    </w:rPr>
  </w:style>
  <w:style w:type="character" w:customStyle="1" w:styleId="31">
    <w:name w:val="label12"/>
    <w:basedOn w:val="12"/>
    <w:qFormat/>
    <w:uiPriority w:val="0"/>
    <w:rPr>
      <w:color w:val="1AB394"/>
      <w:shd w:val="clear" w:fill="FFFFFF"/>
    </w:rPr>
  </w:style>
  <w:style w:type="character" w:customStyle="1" w:styleId="32">
    <w:name w:val="label13"/>
    <w:basedOn w:val="12"/>
    <w:qFormat/>
    <w:uiPriority w:val="0"/>
  </w:style>
  <w:style w:type="character" w:customStyle="1" w:styleId="33">
    <w:name w:val="navy"/>
    <w:basedOn w:val="12"/>
    <w:qFormat/>
    <w:uiPriority w:val="0"/>
    <w:rPr>
      <w:color w:val="1AB39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CEB522-9870-4E3A-9B2B-67A96EA9B4D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78</Pages>
  <Words>5859</Words>
  <Characters>33398</Characters>
  <Lines>278</Lines>
  <Paragraphs>78</Paragraphs>
  <TotalTime>26</TotalTime>
  <ScaleCrop>false</ScaleCrop>
  <LinksUpToDate>false</LinksUpToDate>
  <CharactersWithSpaces>39179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2020-12-22T04:33:00Z</dcterms:created>
  <dc:creator>Administrator</dc:creator>
  <cp:lastModifiedBy>Juan</cp:lastModifiedBy>
  <dcterms:modified xsi:type="dcterms:W3CDTF">2021-06-28T06:44:52Z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5F689AEF4EAC4CE495B583F9C942FA2E</vt:lpwstr>
  </property>
</Properties>
</file>