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bookmarkStart w:id="0" w:name="_GoBack"/>
      <w:bookmarkEnd w:id="0"/>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spacing w:line="360" w:lineRule="auto"/>
        <w:jc w:val="center"/>
        <w:rPr>
          <w:rStyle w:val="13"/>
          <w:rFonts w:ascii="宋体" w:hAnsi="宋体" w:cs="宋体"/>
          <w:color w:val="auto"/>
          <w:sz w:val="30"/>
          <w:szCs w:val="30"/>
          <w:highlight w:val="none"/>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项目名称：</w:t>
      </w:r>
      <w:r>
        <w:rPr>
          <w:rStyle w:val="13"/>
          <w:rFonts w:hint="eastAsia" w:ascii="宋体" w:hAnsi="宋体" w:cs="宋体"/>
          <w:color w:val="auto"/>
          <w:sz w:val="30"/>
          <w:szCs w:val="30"/>
          <w:highlight w:val="none"/>
        </w:rPr>
        <w:t>泉州师范学院规范化谈话室建设采购项目</w:t>
      </w:r>
    </w:p>
    <w:p>
      <w:pPr>
        <w:pStyle w:val="9"/>
        <w:widowControl/>
        <w:spacing w:before="75" w:beforeAutospacing="0" w:after="75" w:afterAutospacing="0"/>
        <w:jc w:val="center"/>
        <w:rPr>
          <w:rFonts w:hint="default"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ascii="宋体" w:hAnsi="宋体" w:cs="宋体"/>
          <w:color w:val="auto"/>
          <w:sz w:val="30"/>
          <w:szCs w:val="30"/>
          <w:highlight w:val="none"/>
        </w:rPr>
        <w:t>FJJX20197</w:t>
      </w:r>
      <w:r>
        <w:rPr>
          <w:rStyle w:val="13"/>
          <w:rFonts w:hint="eastAsia" w:ascii="宋体" w:hAnsi="宋体" w:cs="宋体"/>
          <w:color w:val="auto"/>
          <w:sz w:val="30"/>
          <w:szCs w:val="30"/>
          <w:highlight w:val="none"/>
          <w:lang w:val="en-US" w:eastAsia="zh-CN"/>
        </w:rPr>
        <w:t>57</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rPr>
        <w:t>福建景鑫招标有限公司</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2019</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10</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rStyle w:val="13"/>
          <w:rFonts w:ascii="宋体" w:cs="宋体"/>
          <w:color w:val="auto"/>
          <w:sz w:val="30"/>
          <w:szCs w:val="30"/>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single"/>
          <w:shd w:val="clear" w:color="auto" w:fill="FFFFFF"/>
        </w:rPr>
        <w:t>泉州师范学院规范化谈话室建设采购项目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w:t>
      </w:r>
      <w:r>
        <w:rPr>
          <w:rFonts w:hint="eastAsia" w:ascii="宋体" w:hAnsi="宋体" w:cs="宋体"/>
          <w:color w:val="auto"/>
          <w:highlight w:val="none"/>
          <w:u w:val="none"/>
          <w:shd w:val="clear" w:color="auto" w:fill="FFFFFF"/>
        </w:rPr>
        <w:t>泉州师范学院规范化谈话室建设采购项目 </w:t>
      </w:r>
      <w:r>
        <w:rPr>
          <w:rFonts w:hint="eastAsia"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 </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ascii="宋体" w:hAnsi="宋体" w:cs="宋体"/>
          <w:color w:val="auto"/>
          <w:highlight w:val="none"/>
          <w:shd w:val="clear" w:color="auto" w:fill="FFFFFF"/>
        </w:rPr>
        <w:t>FJJX20197</w:t>
      </w:r>
      <w:r>
        <w:rPr>
          <w:rFonts w:hint="eastAsia" w:ascii="宋体" w:hAnsi="宋体" w:cs="宋体"/>
          <w:color w:val="auto"/>
          <w:highlight w:val="none"/>
          <w:shd w:val="clear" w:color="auto" w:fill="FFFFFF"/>
          <w:lang w:val="en-US" w:eastAsia="zh-CN"/>
        </w:rPr>
        <w:t>57</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352"/>
        <w:gridCol w:w="748"/>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352"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748"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9"/>
              <w:widowControl/>
              <w:jc w:val="center"/>
              <w:rPr>
                <w:color w:val="auto"/>
                <w:highlight w:val="none"/>
              </w:rPr>
            </w:pPr>
            <w:r>
              <w:rPr>
                <w:rFonts w:ascii="宋体" w:hAnsi="宋体" w:cs="宋体"/>
                <w:color w:val="auto"/>
                <w:highlight w:val="none"/>
              </w:rPr>
              <w:t>1</w:t>
            </w:r>
          </w:p>
        </w:tc>
        <w:tc>
          <w:tcPr>
            <w:tcW w:w="851" w:type="dxa"/>
            <w:vAlign w:val="center"/>
          </w:tcPr>
          <w:p>
            <w:pPr>
              <w:pStyle w:val="9"/>
              <w:widowControl/>
              <w:jc w:val="center"/>
              <w:rPr>
                <w:rFonts w:ascii="宋体" w:hAnsi="宋体" w:cs="宋体"/>
                <w:color w:val="auto"/>
                <w:highlight w:val="none"/>
              </w:rPr>
            </w:pPr>
            <w:r>
              <w:rPr>
                <w:rFonts w:hint="eastAsia" w:ascii="宋体" w:hAnsi="宋体" w:cs="宋体"/>
                <w:color w:val="auto"/>
                <w:highlight w:val="none"/>
              </w:rPr>
              <w:t>1-1</w:t>
            </w:r>
          </w:p>
        </w:tc>
        <w:tc>
          <w:tcPr>
            <w:tcW w:w="1527" w:type="dxa"/>
            <w:vAlign w:val="center"/>
          </w:tcPr>
          <w:p>
            <w:pPr>
              <w:pStyle w:val="9"/>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SA"/>
              </w:rPr>
              <w:t>规范化谈话室建</w:t>
            </w:r>
            <w:r>
              <w:rPr>
                <w:rFonts w:hint="eastAsia" w:ascii="宋体" w:hAnsi="宋体" w:cs="宋体"/>
                <w:color w:val="auto"/>
                <w:kern w:val="0"/>
                <w:sz w:val="24"/>
                <w:szCs w:val="24"/>
                <w:highlight w:val="none"/>
                <w:lang w:val="en-US" w:eastAsia="zh-CN" w:bidi="ar-SA"/>
              </w:rPr>
              <w:t>设</w:t>
            </w:r>
          </w:p>
        </w:tc>
        <w:tc>
          <w:tcPr>
            <w:tcW w:w="83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35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406932</w:t>
            </w:r>
            <w:r>
              <w:rPr>
                <w:rFonts w:hint="eastAsia" w:ascii="宋体" w:hAnsi="宋体" w:eastAsia="宋体" w:cs="宋体"/>
                <w:color w:val="auto"/>
                <w:kern w:val="0"/>
                <w:sz w:val="24"/>
                <w:szCs w:val="24"/>
                <w:highlight w:val="none"/>
                <w:lang w:val="en-US" w:eastAsia="zh-CN" w:bidi="ar-SA"/>
              </w:rPr>
              <w:t xml:space="preserve"> </w:t>
            </w:r>
          </w:p>
        </w:tc>
        <w:tc>
          <w:tcPr>
            <w:tcW w:w="748"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否</w:t>
            </w:r>
          </w:p>
        </w:tc>
        <w:tc>
          <w:tcPr>
            <w:tcW w:w="1536"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406932</w:t>
            </w:r>
            <w:r>
              <w:rPr>
                <w:rFonts w:hint="eastAsia" w:ascii="宋体" w:hAnsi="宋体" w:eastAsia="宋体" w:cs="宋体"/>
                <w:color w:val="auto"/>
                <w:kern w:val="0"/>
                <w:sz w:val="24"/>
                <w:szCs w:val="24"/>
                <w:highlight w:val="none"/>
                <w:lang w:val="en-US" w:eastAsia="zh-CN" w:bidi="ar-SA"/>
              </w:rPr>
              <w:t xml:space="preserve"> </w:t>
            </w:r>
          </w:p>
        </w:tc>
        <w:tc>
          <w:tcPr>
            <w:tcW w:w="859" w:type="dxa"/>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8000</w:t>
            </w:r>
          </w:p>
        </w:tc>
      </w:tr>
    </w:tbl>
    <w:p>
      <w:pPr>
        <w:pStyle w:val="9"/>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w:t>
      </w:r>
      <w:r>
        <w:rPr>
          <w:rFonts w:ascii="宋体" w:hAnsi="宋体" w:cs="宋体"/>
          <w:color w:val="auto"/>
          <w:highlight w:val="none"/>
        </w:rPr>
        <w:t xml:space="preserve"> </w:t>
      </w:r>
      <w:r>
        <w:rPr>
          <w:rFonts w:hint="eastAsia" w:ascii="宋体" w:hAnsi="宋体" w:cs="宋体"/>
          <w:color w:val="auto"/>
          <w:highlight w:val="none"/>
        </w:rPr>
        <w:t>，适用于（合同包1）。信用记录，适用于（合同包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3"/>
          <w:rFonts w:hint="eastAsia" w:ascii="宋体" w:hAnsi="宋体" w:cs="宋体"/>
          <w:color w:val="auto"/>
          <w:highlight w:val="none"/>
          <w:shd w:val="clear" w:color="auto" w:fill="FFFFFF"/>
        </w:rPr>
        <w:t>包</w:t>
      </w:r>
      <w:r>
        <w:rPr>
          <w:rStyle w:val="13"/>
          <w:rFonts w:ascii="宋体" w:hAnsi="宋体" w:cs="宋体"/>
          <w:color w:val="auto"/>
          <w:highlight w:val="none"/>
          <w:shd w:val="clear" w:color="auto" w:fill="FFFFFF"/>
        </w:rPr>
        <w:t>1</w:t>
      </w:r>
      <w:r>
        <w:rPr>
          <w:rFonts w:ascii="宋体" w:hAnsi="宋体" w:cs="宋体"/>
          <w:b/>
          <w:color w:val="auto"/>
          <w:highlight w:val="none"/>
          <w:shd w:val="clear" w:color="auto" w:fill="FFFFFF"/>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585" w:type="dxa"/>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lang w:eastAsia="zh-CN"/>
              </w:rPr>
              <w:t>如有</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pStyle w:val="9"/>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8 </w:t>
      </w:r>
      <w:r>
        <w:rPr>
          <w:rFonts w:hint="eastAsia" w:ascii="宋体" w:hAnsi="宋体" w:cs="宋体"/>
          <w:color w:val="auto"/>
          <w:highlight w:val="none"/>
          <w:shd w:val="clear" w:color="auto" w:fill="FFFFFF"/>
        </w:rPr>
        <w:t>日</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17:00 </w:t>
      </w:r>
      <w:r>
        <w:rPr>
          <w:rFonts w:hint="eastAsia" w:ascii="宋体" w:hAnsi="宋体" w:cs="宋体"/>
          <w:color w:val="auto"/>
          <w:highlight w:val="none"/>
          <w:shd w:val="clear" w:color="auto" w:fill="FFFFFF"/>
        </w:rPr>
        <w:t>时至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 10</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12</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17:00 </w:t>
      </w:r>
      <w:r>
        <w:rPr>
          <w:rFonts w:hint="eastAsia" w:ascii="宋体" w:hAnsi="宋体" w:cs="宋体"/>
          <w:color w:val="auto"/>
          <w:highlight w:val="none"/>
          <w:shd w:val="clear" w:color="auto" w:fill="FFFFFF"/>
        </w:rPr>
        <w:t>时。</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报名期限内，供应商应凡有意参加的供应商可按下述地址到福建景鑫招标有限公司购买竞争性谈判文件。未报名将导致其不能下载采购文件且响应文件被拒收。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10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8</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10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12  </w:t>
      </w:r>
      <w:r>
        <w:rPr>
          <w:rFonts w:hint="eastAsia" w:ascii="宋体" w:hAnsi="宋体" w:cs="宋体"/>
          <w:color w:val="auto"/>
          <w:highlight w:val="none"/>
          <w:shd w:val="clear" w:color="auto" w:fill="FFFFFF"/>
        </w:rPr>
        <w:t>日。</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购买竞争性谈判文件。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采购文件售价：每个合同</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10</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 xml:space="preserve"> 日</w:t>
      </w:r>
      <w:r>
        <w:rPr>
          <w:rFonts w:hint="eastAsia" w:ascii="宋体" w:hAnsi="宋体"/>
          <w:color w:val="auto"/>
          <w:highlight w:val="none"/>
          <w:lang w:val="en-US" w:eastAsia="zh-CN"/>
        </w:rPr>
        <w:t xml:space="preserve"> 上午9:00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10</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 xml:space="preserve"> 日</w:t>
      </w:r>
      <w:r>
        <w:rPr>
          <w:rFonts w:hint="eastAsia" w:ascii="宋体" w:hAnsi="宋体"/>
          <w:color w:val="auto"/>
          <w:highlight w:val="none"/>
          <w:lang w:val="en-US" w:eastAsia="zh-CN"/>
        </w:rPr>
        <w:t xml:space="preserve"> 上午9:00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陈显银</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联系人：赵海全</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8000</w:t>
            </w:r>
            <w:r>
              <w:rPr>
                <w:rFonts w:hint="eastAsia" w:ascii="宋体" w:hAnsi="宋体"/>
                <w:color w:val="auto"/>
                <w:sz w:val="24"/>
                <w:highlight w:val="none"/>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9"/>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9"/>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ascii="宋体" w:hAnsi="宋体" w:cs="宋体"/>
          <w:color w:val="auto"/>
          <w:sz w:val="43"/>
          <w:szCs w:val="43"/>
          <w:highlight w:val="none"/>
        </w:rPr>
      </w:pPr>
    </w:p>
    <w:p>
      <w:pPr>
        <w:pStyle w:val="9"/>
        <w:widowControl/>
        <w:spacing w:before="75" w:beforeAutospacing="0" w:after="75" w:afterAutospacing="0"/>
        <w:jc w:val="both"/>
        <w:rPr>
          <w:rStyle w:val="13"/>
          <w:rFonts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center"/>
        <w:rPr>
          <w:color w:val="auto"/>
          <w:highlight w:val="none"/>
        </w:rPr>
      </w:pP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ascii="宋体" w:hAnsi="宋体" w:cs="宋体"/>
                <w:color w:val="auto"/>
                <w:sz w:val="21"/>
                <w:szCs w:val="22"/>
                <w:highlight w:val="none"/>
                <w:shd w:val="clear" w:color="auto" w:fill="FFFFFF"/>
              </w:rPr>
            </w:pPr>
            <w:r>
              <w:rPr>
                <w:rStyle w:val="13"/>
                <w:rFonts w:hint="eastAsia" w:ascii="宋体" w:hAnsi="宋体" w:cs="宋体"/>
                <w:color w:val="auto"/>
                <w:sz w:val="21"/>
                <w:szCs w:val="22"/>
                <w:highlight w:val="none"/>
                <w:shd w:val="clear" w:color="auto" w:fill="FFFFFF"/>
              </w:rPr>
              <w:t xml:space="preserve">包1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14"/>
              <w:gridCol w:w="46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1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65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所投产品如有国家强制性要求或认证的（如：3C等），必须提供相关的证明文件或证书复印件，否则将视为无效投标。b.根据《财政部、国家发展改革委关于调整节能产品政府采购清单的通知》（财库[2009]102号）的规定，空调机、计算机、打印机等九类产品为政府强制采购节能产品，本次采购</w:t>
                  </w:r>
                  <w:r>
                    <w:rPr>
                      <w:rFonts w:hint="eastAsia" w:ascii="宋体" w:hAnsi="宋体" w:cs="宋体"/>
                      <w:color w:val="auto"/>
                      <w:kern w:val="0"/>
                      <w:sz w:val="24"/>
                      <w:highlight w:val="none"/>
                      <w:lang w:eastAsia="zh-CN"/>
                    </w:rPr>
                    <w:t>如有</w:t>
                  </w:r>
                  <w:r>
                    <w:rPr>
                      <w:rFonts w:ascii="宋体" w:hAnsi="宋体" w:cs="宋体"/>
                      <w:color w:val="auto"/>
                      <w:kern w:val="0"/>
                      <w:sz w:val="24"/>
                      <w:highlight w:val="none"/>
                    </w:rPr>
                    <w:t>属政府强制采购节能产品的，投标人所投产品必须是最新一期《节能产品政府采购清单》内产品，否则投标无效。(应于</w:t>
                  </w:r>
                  <w:r>
                    <w:rPr>
                      <w:rFonts w:hint="eastAsia" w:ascii="宋体" w:hAnsi="宋体" w:cs="宋体"/>
                      <w:color w:val="auto"/>
                      <w:kern w:val="0"/>
                      <w:sz w:val="24"/>
                      <w:highlight w:val="none"/>
                    </w:rPr>
                    <w:t>响应</w:t>
                  </w:r>
                  <w:r>
                    <w:rPr>
                      <w:rFonts w:ascii="宋体" w:hAnsi="宋体" w:cs="宋体"/>
                      <w:color w:val="auto"/>
                      <w:kern w:val="0"/>
                      <w:sz w:val="24"/>
                      <w:highlight w:val="none"/>
                    </w:rPr>
                    <w:t>文件中提供相关证明材料（如从发布以上清单目录的权威媒体网站上下载的网页公告等，并加盖投标人公章。）</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p>
          <w:p>
            <w:pPr>
              <w:pStyle w:val="9"/>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9"/>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color w:val="auto"/>
                <w:highlight w:val="none"/>
              </w:rPr>
              <w:t>3 </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成交供应商中标供应商在与采购人签订合同前，应向采购人提交按成交总金额的</w:t>
                  </w:r>
                  <w:r>
                    <w:rPr>
                      <w:rFonts w:ascii="宋体" w:hAnsi="宋体" w:cs="宋体"/>
                      <w:color w:val="auto"/>
                      <w:kern w:val="0"/>
                      <w:sz w:val="24"/>
                      <w:highlight w:val="none"/>
                    </w:rPr>
                    <w:t>5%</w:t>
                  </w:r>
                  <w:r>
                    <w:rPr>
                      <w:rFonts w:hint="eastAsia" w:ascii="宋体" w:hAnsi="宋体" w:cs="宋体"/>
                      <w:color w:val="auto"/>
                      <w:kern w:val="0"/>
                      <w:sz w:val="24"/>
                      <w:highlight w:val="none"/>
                    </w:rPr>
                    <w:t>计算的履约保证金。</w:t>
                  </w:r>
                  <w:r>
                    <w:rPr>
                      <w:rFonts w:ascii="宋体" w:hAnsi="宋体" w:cs="宋体"/>
                      <w:color w:val="auto"/>
                      <w:kern w:val="0"/>
                      <w:sz w:val="24"/>
                      <w:highlight w:val="none"/>
                    </w:rPr>
                    <w:t xml:space="preserve"> 2</w:t>
                  </w:r>
                  <w:r>
                    <w:rPr>
                      <w:rFonts w:hint="eastAsia" w:ascii="宋体" w:hAnsi="宋体" w:cs="宋体"/>
                      <w:color w:val="auto"/>
                      <w:kern w:val="0"/>
                      <w:sz w:val="24"/>
                      <w:highlight w:val="none"/>
                    </w:rPr>
                    <w:t>、该履约保证金在正式验收合格后，转为质保金，质保金在供应商供应的货物全部验收合格后满</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年且无质量及售后服务问题时一个月内一次性无息退还。供应商在签订合同前需提供《保修承诺书》承诺在退还履约保证金后将继续履行售后质保义务，直至质保期结束。</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wordWrap w:val="0"/>
              <w:spacing w:beforeAutospacing="0"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3"/>
                <w:rFonts w:hint="eastAsia" w:ascii="宋体" w:hAnsi="宋体" w:cs="宋体"/>
                <w:color w:val="auto"/>
                <w:highlight w:val="none"/>
              </w:rPr>
              <w:t>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hint="eastAsia" w:ascii="宋体" w:hAnsi="宋体" w:cs="宋体"/>
                <w:color w:val="auto"/>
                <w:highlight w:val="none"/>
              </w:rPr>
              <w:t>。</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rStyle w:val="13"/>
          <w:rFonts w:hint="eastAsia" w:ascii="宋体" w:hAnsi="宋体" w:cs="宋体"/>
          <w:color w:val="auto"/>
          <w:highlight w:val="none"/>
        </w:rPr>
      </w:pPr>
      <w:r>
        <w:rPr>
          <w:rStyle w:val="13"/>
          <w:rFonts w:hint="eastAsia" w:ascii="宋体" w:hAnsi="宋体" w:cs="宋体"/>
          <w:color w:val="auto"/>
          <w:highlight w:val="none"/>
        </w:rPr>
        <w:t>专项附件：评定成交的标准和方法</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小型、微型企业产品：根据财政部，工信部印发的《政府采购促进中小企业发展暂行办法》</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，凡参加此次投标的小型和微型企业提供本企业制造的或者提供其他小型、微型企业制造的产品，其报价部分给予</w:t>
      </w:r>
      <w:r>
        <w:rPr>
          <w:rFonts w:ascii="宋体" w:hAnsi="宋体" w:cs="宋体"/>
          <w:color w:val="auto"/>
          <w:highlight w:val="none"/>
        </w:rPr>
        <w:t>6%</w:t>
      </w:r>
      <w:r>
        <w:rPr>
          <w:rFonts w:hint="eastAsia" w:ascii="宋体" w:hAnsi="宋体" w:cs="宋体"/>
          <w:color w:val="auto"/>
          <w:highlight w:val="none"/>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highlight w:val="none"/>
        </w:rPr>
        <w:t>(</w:t>
      </w:r>
      <w:r>
        <w:rPr>
          <w:rFonts w:hint="eastAsia" w:ascii="宋体" w:hAnsi="宋体" w:cs="宋体"/>
          <w:color w:val="auto"/>
          <w:highlight w:val="none"/>
        </w:rPr>
        <w:t>格式附后</w:t>
      </w:r>
      <w:r>
        <w:rPr>
          <w:rFonts w:ascii="宋体" w:hAnsi="宋体" w:cs="宋体"/>
          <w:color w:val="auto"/>
          <w:highlight w:val="none"/>
        </w:rPr>
        <w:t>)</w:t>
      </w:r>
      <w:r>
        <w:rPr>
          <w:rFonts w:hint="eastAsia" w:ascii="宋体" w:hAnsi="宋体" w:cs="宋体"/>
          <w:color w:val="auto"/>
          <w:highlight w:val="none"/>
        </w:rPr>
        <w:t>。②、由企业所在地的县级及以上中小企业主管部门出具的属于小型、微型企业制造的产品证明文件。中小企业划分标准详见工信部联企业【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号文件。③、符合中小企业划分标准</w:t>
      </w:r>
      <w:r>
        <w:rPr>
          <w:rFonts w:ascii="宋体" w:hAnsi="宋体" w:cs="宋体"/>
          <w:color w:val="auto"/>
          <w:highlight w:val="none"/>
        </w:rPr>
        <w:t>(</w:t>
      </w:r>
      <w:r>
        <w:rPr>
          <w:rFonts w:hint="eastAsia" w:ascii="宋体" w:hAnsi="宋体" w:cs="宋体"/>
          <w:color w:val="auto"/>
          <w:highlight w:val="none"/>
        </w:rPr>
        <w:t>投标供应商参照工信部联企业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w:t>
      </w:r>
      <w:r>
        <w:rPr>
          <w:rFonts w:ascii="宋体" w:hAnsi="宋体" w:cs="宋体"/>
          <w:color w:val="auto"/>
          <w:highlight w:val="none"/>
        </w:rPr>
        <w:t>)</w:t>
      </w:r>
      <w:r>
        <w:rPr>
          <w:rFonts w:hint="eastAsia" w:ascii="宋体" w:hAnsi="宋体" w:cs="宋体"/>
          <w:color w:val="auto"/>
          <w:highlight w:val="none"/>
        </w:rPr>
        <w:t>规定，且列明所属行业，并根据《工信部联企业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号文件规定声明属何类划型标准规定》中“各行业划分标准”要求提供证明材料；</w:t>
      </w:r>
      <w:r>
        <w:rPr>
          <w:rFonts w:ascii="宋体" w:hAnsi="宋体" w:cs="宋体"/>
          <w:color w:val="auto"/>
          <w:highlight w:val="none"/>
        </w:rPr>
        <w:t>A</w:t>
      </w:r>
      <w:r>
        <w:rPr>
          <w:rFonts w:hint="eastAsia" w:ascii="宋体" w:hAnsi="宋体" w:cs="宋体"/>
          <w:color w:val="auto"/>
          <w:highlight w:val="none"/>
        </w:rPr>
        <w:t>、涉及营业收入、资产总额划型的企业：应提供该企业经有资质的第三方会计师事务所审计的上一年度财务会计报表</w:t>
      </w:r>
      <w:r>
        <w:rPr>
          <w:rFonts w:ascii="宋体" w:hAnsi="宋体" w:cs="宋体"/>
          <w:color w:val="auto"/>
          <w:highlight w:val="none"/>
        </w:rPr>
        <w:t>(</w:t>
      </w:r>
      <w:r>
        <w:rPr>
          <w:rFonts w:hint="eastAsia" w:ascii="宋体" w:hAnsi="宋体" w:cs="宋体"/>
          <w:color w:val="auto"/>
          <w:highlight w:val="none"/>
        </w:rPr>
        <w:t>应能体现营业收入、资产总额</w:t>
      </w:r>
      <w:r>
        <w:rPr>
          <w:rFonts w:ascii="宋体" w:hAnsi="宋体" w:cs="宋体"/>
          <w:color w:val="auto"/>
          <w:highlight w:val="none"/>
        </w:rPr>
        <w:t>)</w:t>
      </w:r>
      <w:r>
        <w:rPr>
          <w:rFonts w:hint="eastAsia" w:ascii="宋体" w:hAnsi="宋体" w:cs="宋体"/>
          <w:color w:val="auto"/>
          <w:highlight w:val="none"/>
        </w:rPr>
        <w:t>；</w:t>
      </w:r>
      <w:r>
        <w:rPr>
          <w:rFonts w:ascii="宋体" w:hAnsi="宋体" w:cs="宋体"/>
          <w:color w:val="auto"/>
          <w:highlight w:val="none"/>
        </w:rPr>
        <w:t>B</w:t>
      </w:r>
      <w:r>
        <w:rPr>
          <w:rFonts w:hint="eastAsia" w:ascii="宋体" w:hAnsi="宋体" w:cs="宋体"/>
          <w:color w:val="auto"/>
          <w:highlight w:val="none"/>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号）规定，在政府采购活动中，残疾人福利性单位视同小型、微型企业，符合条件的残疾人福利性单位在参加政府采购活动时，给予其</w:t>
      </w:r>
      <w:r>
        <w:rPr>
          <w:rFonts w:ascii="宋体" w:hAnsi="宋体" w:cs="宋体"/>
          <w:color w:val="auto"/>
          <w:highlight w:val="none"/>
        </w:rPr>
        <w:t>6%</w:t>
      </w:r>
      <w:r>
        <w:rPr>
          <w:rFonts w:hint="eastAsia" w:ascii="宋体" w:hAnsi="宋体" w:cs="宋体"/>
          <w:color w:val="auto"/>
          <w:highlight w:val="none"/>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 http://www.ccgp.gov.cn/zcfg/mof/201709/t20170904_8787205.htm </w:t>
      </w:r>
      <w:r>
        <w:rPr>
          <w:rFonts w:hint="eastAsia" w:ascii="宋体" w:hAnsi="宋体" w:cs="宋体"/>
          <w:color w:val="auto"/>
          <w:highlight w:val="none"/>
        </w:rPr>
        <w:t>）”。注：除残疾人福利性单位提供本单位制造的货物、承担的工程或服务外，小型、微型企业（含监狱企业）承担的工程或提供的服务不享受价格扣除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w:t>
      </w:r>
      <w:r>
        <w:rPr>
          <w:rFonts w:ascii="宋体" w:hAnsi="宋体" w:cs="宋体"/>
          <w:color w:val="auto"/>
          <w:highlight w:val="none"/>
        </w:rPr>
        <w:t xml:space="preserve"> </w:t>
      </w:r>
      <w:r>
        <w:rPr>
          <w:rFonts w:hint="eastAsia" w:ascii="宋体" w:hAnsi="宋体" w:cs="宋体"/>
          <w:color w:val="auto"/>
          <w:highlight w:val="none"/>
        </w:rPr>
        <w:t>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r>
        <w:rPr>
          <w:rFonts w:hint="eastAsia" w:ascii="宋体" w:hAnsi="宋体" w:cs="宋体"/>
          <w:b/>
          <w:bCs/>
          <w:color w:val="auto"/>
          <w:highlight w:val="none"/>
          <w:lang w:eastAsia="zh-CN"/>
        </w:rPr>
        <w:t>（需胶装装订成册）</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3"/>
          <w:rFonts w:hint="eastAsia" w:ascii="宋体" w:hAnsi="宋体" w:cs="宋体"/>
          <w:color w:val="auto"/>
          <w:highlight w:val="none"/>
        </w:rPr>
        <w:t>包：</w:t>
      </w:r>
      <w:r>
        <w:rPr>
          <w:rStyle w:val="13"/>
          <w:rFonts w:ascii="宋体" w:hAnsi="宋体" w:cs="宋体"/>
          <w:color w:val="auto"/>
          <w:highlight w:val="none"/>
        </w:rPr>
        <w:t>1</w:t>
      </w:r>
      <w:r>
        <w:rPr>
          <w:rFonts w:ascii="宋体" w:hAnsi="宋体" w:cs="宋体"/>
          <w:color w:val="auto"/>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p>
    <w:p>
      <w:pPr>
        <w:pStyle w:val="9"/>
        <w:widowControl/>
        <w:spacing w:before="75" w:beforeAutospacing="0" w:after="75" w:afterAutospacing="0" w:line="435" w:lineRule="atLeast"/>
        <w:jc w:val="center"/>
        <w:rPr>
          <w:rStyle w:val="13"/>
          <w:rFonts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widowControl/>
        <w:numPr>
          <w:ilvl w:val="0"/>
          <w:numId w:val="2"/>
        </w:numPr>
        <w:spacing w:beforeAutospacing="0" w:afterAutospacing="0" w:line="340" w:lineRule="exact"/>
        <w:rPr>
          <w:rFonts w:hint="eastAsia" w:ascii="宋体" w:hAnsi="宋体" w:cs="宋体"/>
          <w:b/>
          <w:bCs/>
          <w:color w:val="auto"/>
          <w:highlight w:val="none"/>
        </w:rPr>
      </w:pPr>
      <w:r>
        <w:rPr>
          <w:rFonts w:hint="eastAsia" w:ascii="宋体" w:hAnsi="宋体" w:cs="宋体"/>
          <w:b/>
          <w:bCs/>
          <w:color w:val="auto"/>
          <w:highlight w:val="none"/>
        </w:rPr>
        <w:t>（根据本项目实际情况，填写“采购标的”或“项目概况”）</w:t>
      </w:r>
    </w:p>
    <w:p>
      <w:pPr>
        <w:pStyle w:val="9"/>
        <w:widowControl/>
        <w:numPr>
          <w:ilvl w:val="0"/>
          <w:numId w:val="0"/>
        </w:numPr>
        <w:spacing w:beforeAutospacing="0" w:afterAutospacing="0" w:line="340" w:lineRule="exact"/>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rPr>
        <w:t>1.1 本项目为整体采购项目交钥匙工程，供应商应对所有内容完全响应，否则将导致谈判无效。</w:t>
      </w:r>
    </w:p>
    <w:p>
      <w:pPr>
        <w:pStyle w:val="9"/>
        <w:widowControl/>
        <w:numPr>
          <w:ilvl w:val="0"/>
          <w:numId w:val="0"/>
        </w:numPr>
        <w:spacing w:beforeAutospacing="0" w:afterAutospacing="0" w:line="340" w:lineRule="exact"/>
        <w:rPr>
          <w:rFonts w:hint="eastAsia" w:ascii="宋体" w:hAnsi="宋体" w:eastAsia="宋体" w:cs="宋体"/>
          <w:b/>
          <w:bCs/>
          <w:color w:val="auto"/>
          <w:highlight w:val="none"/>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包工包料，不得转包，未经采购人允许不得分包。</w:t>
      </w:r>
    </w:p>
    <w:p>
      <w:pPr>
        <w:pStyle w:val="9"/>
        <w:widowControl/>
        <w:numPr>
          <w:ilvl w:val="0"/>
          <w:numId w:val="0"/>
        </w:numPr>
        <w:spacing w:beforeAutospacing="0" w:afterAutospacing="0" w:line="340" w:lineRule="exact"/>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供应商提供的工程技术规格、安装标准及技术规范等必须符合国家和行业规定标准、规范要求，技术参数与配置要求不得低于本采购项目提供的技术参数与配置要求。</w:t>
      </w:r>
    </w:p>
    <w:p>
      <w:pPr>
        <w:pStyle w:val="9"/>
        <w:widowControl/>
        <w:numPr>
          <w:ilvl w:val="0"/>
          <w:numId w:val="3"/>
        </w:numPr>
        <w:spacing w:beforeAutospacing="0" w:afterAutospacing="0" w:line="340" w:lineRule="exact"/>
        <w:rPr>
          <w:rFonts w:hint="eastAsia" w:ascii="宋体" w:hAnsi="宋体" w:cs="宋体"/>
          <w:b/>
          <w:bCs/>
          <w:color w:val="auto"/>
          <w:highlight w:val="none"/>
        </w:rPr>
      </w:pPr>
      <w:r>
        <w:rPr>
          <w:rFonts w:hint="eastAsia" w:ascii="宋体" w:hAnsi="宋体" w:cs="宋体"/>
          <w:b/>
          <w:bCs/>
          <w:color w:val="auto"/>
          <w:highlight w:val="none"/>
        </w:rPr>
        <w:t>技术和服务要求</w:t>
      </w:r>
    </w:p>
    <w:tbl>
      <w:tblPr>
        <w:tblStyle w:val="10"/>
        <w:tblW w:w="8841" w:type="dxa"/>
        <w:tblInd w:w="0" w:type="dxa"/>
        <w:shd w:val="clear" w:color="auto" w:fill="auto"/>
        <w:tblLayout w:type="fixed"/>
        <w:tblCellMar>
          <w:top w:w="0" w:type="dxa"/>
          <w:left w:w="0" w:type="dxa"/>
          <w:bottom w:w="0" w:type="dxa"/>
          <w:right w:w="0" w:type="dxa"/>
        </w:tblCellMar>
      </w:tblPr>
      <w:tblGrid>
        <w:gridCol w:w="629"/>
        <w:gridCol w:w="1220"/>
        <w:gridCol w:w="5659"/>
        <w:gridCol w:w="702"/>
        <w:gridCol w:w="629"/>
        <w:gridCol w:w="2"/>
      </w:tblGrid>
      <w:tr>
        <w:tblPrEx>
          <w:shd w:val="clear" w:color="auto" w:fill="auto"/>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产品</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性能参数</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单位</w:t>
            </w:r>
          </w:p>
        </w:tc>
      </w:tr>
      <w:tr>
        <w:tblPrEx>
          <w:tblLayout w:type="fixed"/>
          <w:tblCellMar>
            <w:top w:w="0" w:type="dxa"/>
            <w:left w:w="0" w:type="dxa"/>
            <w:bottom w:w="0" w:type="dxa"/>
            <w:right w:w="0" w:type="dxa"/>
          </w:tblCellMar>
        </w:tblPrEx>
        <w:trPr>
          <w:trHeight w:val="66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一、电气智能化系统：包含录音录像、门禁、紧急呼叫系统、中央空调、新风系统、消防系统、家具、电气工程、水卫系统等</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（一）、录音录像系统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特写摄像机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1)具有400万像素CMOS传感器。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2)具有不小于1/1.8"靶面尺寸。像元尺寸不小于2.9um×2.9um。</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3)内置GPU芯片。最低照度彩色不大于0.0002 lx，黑白不大于0.0001 lx。宽动态能力不小于120dB。</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4)红外补光距离不小于50米。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5)在2592x1944 @ 25fps下，清晰度不小于1900TVL。信噪比不小于58dB。</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6)支持H.264、H.265、MJPEG视频编码格式。同一静止场景相同图像质量下，设备在H.265编码方式时，开启智能编码功能和不开启智能编码相比，码率节约1/2。</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7)支持自动变焦、自动调节光圈。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8)需具有实时视频透雾、ROI感兴趣区域、视频水印等功能。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9)摄像机能够在-45~70摄氏度，湿度小于93%环境下稳定工作。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10)支持检出两眼瞳距40像素点以上的人脸图片。支持单场景同时检出不少于30张人脸图片，并支持面部跟踪。人脸检出率不小于99%。</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11)支持人脸区域自动曝光功能，可根据外部不同场景和光照变化自动调节人脸区域曝光参数。</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12)需具有1个RJ45网络接口、1路CVBS视频输出、1路报警输入、1路报警输出接口、1个音频输入、1个音频输出接口、1个RS485接口、1个SD卡槽、1个复位键。具有1个RJ-45 10M/100M/1000M自适应网络接口。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13)需支持IK10防暴等级。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14)需同时支持DC12V、AC24V和POE供电，且在不小于DC12V±50%、AC24V±50%范围内变化时可以正常工作。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15)设备工作状态时，支持空气放电8kV，接触放电6kV，通讯端口支持6kV峰值电压。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16)需支持本地SD卡存储，最大支持128G。</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全景摄像机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1)具有400万像素 CMOS传感器。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2)最大分辨率2560x1440。最低照度彩色：0.001 lx，黑白：0.0001 lx，灰度等级不小于11级。红外补光距离不小于50米。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3)在2560x1440 @ 25fps下，清晰度不小于1400TVL。信噪比不小于58dB。</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4)支持H.264、H.265、MJPEG视频编码格式，且具有High Profile编码能力。</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5)需具备人脸检测、区域入侵检测、越界检测、虚焦检测、进入区域、离开区域、徘徊、人员聚集、逆行、音频异常、场景变更等功能。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6)需具有电子防抖、ROI感兴趣区域、SVC可伸缩编码、自动增益、背光补偿、数字降噪、强光抑制、走廊模式、视频水印等功能。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7)摄像机能够在-30~60摄氏度，湿度小于93%环境下稳定工作。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8)需具有1路报警输入、1路报警输出、1个音频输入、1个音频输出接口，需支持MP2L2、AAC和PCM音频编码。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9)防尘防水等级不低于IP67。</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10)需支持DC12V供电，且在不小于DC12V±30%范围内变化时可以正常工作。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11)设备工作状态时，支持空气放电8kV，接触放电6kV，通讯端口支持6kV峰值电压。</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12)同一静止场景相同图像质量下，设备在H.265编码方式时，开启智能编码功能和不开启智能编码相比，码率节约1/2。</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13)需支持本地SD卡存储，最大支持128G，并支持存储卡可使用时长显示。支持对存储卡进行读写锁定，锁定后的存储卡在移动终端需要密码才能访问。</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温湿度显示屏</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显示范围 温度：-9℃ ～99℃   湿度：0％ ～99％</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测量精度 ＜±1℃   湿度＜ ±3%RH</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外观尺寸 580mm(长) x 380mm(宽) x 37mm(高)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供电电压 AC 100V～260V</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通道摄像机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4具有200万像素 CMOS传感器。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内置GPU芯片，内置麦克风和喇叭。</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最低照度彩色：0.0005 lx，黑白:0.0001 lx，最大亮度鉴别等级（灰度等级）不小于11级，信噪比不小于62dB，红外补光距离不小于50。</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支持H.264、H.265、MJPEG视频编码格式，其中H.264支持Baseline/Main/High Profile。</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支持检出两眼瞳距20像素点以上的人脸图片，支持最佳抓拍和快速抓拍2种人脸图片抓拍模式设置选项。</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需具备区域入侵、越界入侵、进入区域、离开区域等功能，并可将分析目标设置为人、车辆、人和车辆三种，可对布防时间和联动报警方式进行设置。</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支持声音报警功能，报警声音类型不小于10种，报警声级及报警次数可设置。</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支持快捷配置功能，可在预览画面开启/关闭“快捷配置”页面，对曝光参数、OSD、智能资源分配模式等参数进行配置，并可一键恢复为默认设置。</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支持像素显示功能，可实时显示监控画面上选定区域的水平像素大小和垂直像素大小。</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不低于IP67防尘防水等级，不低于IK10防暴等级。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需支持DC12V供电，且在不小于DC12V±30%范围内变化时可以正常工作。</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室外枪式摄像机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400万1/2.7”CMOS 筒型网络摄像机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传感器类型:1/2.7” Progressive Scan CMOS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最小照度:彩色：0.0005Lux@F1.0，AGC ON；0Lux with Light</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镜头:4mm,水平视场角89°;(6mm 水平视场角56°可选)</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宽动态范围:120dB</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视频压缩标准:H.265 / H.264 / MJPEG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最大图像尺寸:1920 × 1080</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存储功能:支持NAS(NFS,SMB/CIFS均支持)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防护等级:IP67</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补光照射距离:暖光最远可达30米</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拾音器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全向数字降噪拾音器；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拾音范围70平方米；音频传输距离3000米；ECM麦克风阵列；灵敏度-41dB；信噪比 75dB；内置DSP降噪处理技术；安装方式：吸顶安装（自带底座转接盘）；连接方式 3芯导线（红-电源  黑-公共地  黄-音频）；电源DC12V（9V-18V）；推荐电源：DC12V/1A，两线；</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集中供电电源</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12V20A</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摄像机安装支架</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壁装型监控支架</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副</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高清审讯主机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采用7寸触摸屏，可实现实时视频预览、主机硬盘录像回放及光盘录像回放；可实现显示主机刻录状态、硬盘信息、刻录剩余时间、内存使用率、异常检测标识等；支持在液晶屏上控制设备，完成一键刻录，参数配置等操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2)设备应支持接口类型：6个SATA接口；2个RS-232接口、4个RS485接口、3个VGA接口、4个HDMI接口、4个USB接口、2个以太网接口、8个报警输入、4个报警输出接口、具有4个RCA音频接口、2个3.5mm MIC接口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3)最大支持8路IPC接入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4)设备最大接入带宽256Mbps，IPC主码流接入支持最大3840×2160，且可支持1280×720、1920×1080、2560×1440、2560×1920、3072×2048分辨率。</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5)采用H.264或H.265压缩技术，画中画通道分辨率可达2560x1440，单画面通道分辨率可达1920x1080</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6)支持画中画功能，支持1大7小、1大5小、1大4小、1大3小、1大2小、1大1小等多种画中画模式，画中画大小和位置任意调整。</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7)音频压缩标准采用AAC，音频采样率为48kHz</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8)片头信息，支持案件编号、案件、自定义信息等自动生成片头信息叠加于视频画面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9)支持4个SATA硬盘接入，每个SATA口容量支持最大10T硬盘，支持raid0、raid1、raid5、raid10，支持2个SATA口接入2个光驱</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10)支持单通道双光盘同时刻录、双通道双光盘刻录、单通道双光盘轮流刻录等功能；支持按光盘时间和按审讯码率两种刻录方式，刻录时间可选1至12小时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11)支持光盘不间断刻录，在更换光盘时设备具有缓存机制，支持刻录光盘出错后，放入新光盘实时追刻，确保数据不丢失</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12)支持一键式开始/结束审讯，切换画面，回放，打点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13)光盘加密功能，支持对光盘进行数字加密，生成唯一不可修改加密序列号，需要检验密码才能查看光盘内录像文件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14)支持讯问数据数字水印加密技术和哈希值校验技术，并将哈希值数据以单独文件的形式与音视频数据一并保存，防止原音视频数据被篡改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15)音频输入和输出音频可调，支持声音波形显示，具备最大10路音频混音</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16)支持设置啸叫抑制功能开启与关闭</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17)余量提醒，支持数据存储余量不足提醒，当数据余量不足30min，10min，5min时均可提醒</w:t>
            </w:r>
            <w:r>
              <w:rPr>
                <w:rFonts w:hint="eastAsia" w:ascii="宋体" w:hAnsi="宋体" w:eastAsia="宋体" w:cs="宋体"/>
                <w:b/>
                <w:bCs/>
                <w:i w:val="0"/>
                <w:color w:val="auto"/>
                <w:kern w:val="0"/>
                <w:sz w:val="24"/>
                <w:szCs w:val="24"/>
                <w:u w:val="none"/>
                <w:lang w:val="en-US" w:eastAsia="zh-CN" w:bidi="ar"/>
              </w:rPr>
              <w:t>（提供具有CMA、CAL、CNAS、ilac-MRA标识的有效检验报告复印件并加盖投标人公章作为考评依据）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18)支持生命体征仪接入，支持在画中画通道视频中实时显示体征仪波形数据以及血压、心律、血氧等数据信息，显示位置可调节，可在画中画通道录像回放中查看相关信息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19)支持H323视频会议协议功能，实现两台审讯主机之间的视频会议功能；视频的分辨率可达1920×1080；应答方式支持自动、手动及免打扰三种方式。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20)启用无声通道，可对无声音权限的人员传输屏蔽声音的视频</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21)视频录像和刻录过程时对重要段落标识打点，并可在设备回放时进行重点标记索引</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高清硬盘录像主机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支持人脸评分机制，支持设置人脸比对失败和陌生人报警提示语，支持报警布防和联动，支持推送报警信息至客户端（提供首页具有CMA、CAL、CNAS、ilac-MRA标识的有效检验报告复印件并加盖投标人公章作为考评依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支持客户端实时展示人脸比对结果，比对成功人员可查看人脸抓拍图、样本图、相似度、姓名、性别、联系方式、证件类型、证件号、生日、省市、年龄段、戴眼镜等信息；比对失败人员可查看实时抓拍的人脸图片、性别、年龄段、戴眼镜等信息，支持倒序显示24H统计的人脸检测记录</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3)支持按姓名检索人脸抓拍图片，人脸检索结果支持导出电子表格</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4)报警可选择多个关联的人脸库，可针对每个库人脸库设置不同的相似度实现布防，相似度范围0-100</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支持人脸管理：支持新建、删除、修改、查询、复制人脸库，可通过U盘位、web端、客户端软件或批量导入工具进行单张、批量导入导出人脸图片；人脸库查询结果支持列表、图表2种展示方式；支持人脸库整库加密导入导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支持人脸以图搜图，可从外部、人脸库、人脸检索结果导入最多10张人脸样本照片并设置相似度（0-100），检索出符合相似度的人脸图片，可查看人脸背景图、回放关联录像并导出人脸图片；支持按通道、时间检索人脸抓拍图片，支持将检索结果中人脸图片添加到人脸库</w:t>
            </w:r>
            <w:r>
              <w:rPr>
                <w:rFonts w:hint="eastAsia" w:ascii="宋体" w:hAnsi="宋体" w:eastAsia="宋体" w:cs="宋体"/>
                <w:b/>
                <w:bCs/>
                <w:i w:val="0"/>
                <w:color w:val="auto"/>
                <w:kern w:val="0"/>
                <w:sz w:val="24"/>
                <w:szCs w:val="24"/>
                <w:u w:val="none"/>
                <w:lang w:val="en-US" w:eastAsia="zh-CN" w:bidi="ar"/>
              </w:rPr>
              <w:t>（提供首页具有CMA、CAL、CNAS、ilac-MRA标识的有效检验报告复印件并加盖投标人公章作为考评依据）</w:t>
            </w:r>
            <w:r>
              <w:rPr>
                <w:rFonts w:hint="eastAsia" w:ascii="宋体" w:hAnsi="宋体" w:eastAsia="宋体" w:cs="宋体"/>
                <w:b/>
                <w:bCs/>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7)支持报警输入触发一键撤防功能，撤防的报警类型可选（弹出报警画面、声音警告、上传中心、发送邮件、触发报警输出）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8)支持缩略图,拖动回放时间进度条，在回放控制条上显示当前拖动时间点的缩略图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9)支持多屏输出，可设置2组4屏显示输出，每组包含HDMI和VGA接口各一个，同一组内为同源输出，两组之间可以异源输出视频图像。支持16/9/8/6/4/1分屏预览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10)支持1/8、1/4、1/2、1、2、4、8、16、32、64、128、256等倍速回放录像，支持录像文件剪辑和回放截图功能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11)可支持最大接入总带宽640Mbps的16路视频图像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12)可接入H.265、H.264、MPEG4、SVAC视频编码格式的IPC</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13)支持8T容量的SATA接口硬盘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14)支持将2个网口设置不同网段的IP地址；</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15)支持8个SATA接口，1个eSATA接口，2个USB2.0，1个USB3.0接口；支持16路报警输入，8路报警输出接口</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监控硬盘</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4TB/64MB(6Gb/秒 NCQ)/5900RPM/SATA3</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43寸监视器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·支持8 bit 双路LVDS(1920×1080)高清显示。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·采用3D数字梳状滤波器,采用3D降噪技术。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·采用可编程12-bit RGB gamma校正技术。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·红外框内置，一体化四等边框，外形美观，横放竖放皆宜。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·完善的工厂设置模式。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·支持软件展频技术可降低EMI辐射。</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·专业监视标准BNC接口，支持一路CVBS监控视频输入及CVBS环出。</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·支持文本、图片、音频、视频等多种格式多媒体播放。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·无风扇散热功能，减低产品功耗。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·支持一键画面静止，高温报警。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·支持USB软件升级。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·支持3.5 mm音频输入。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·支持7×24小时工作模式。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·采用Mstar ACE-5 自动彩色及图像增强引擎，改善图像的对比度，细节，肤色，边缘等。</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监视器安装支架</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标配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副</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HDMI切换器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2进1出HDMI高清切换器</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HDMI连接线缆</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5米HDMI高清连接线缆</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条</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HDMI连接线缆</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15米HDMI高清连接线缆</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条</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接入交换机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24口千兆汇聚交换机</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刻录光盘</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每片4.7GB/120分钟/16X</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保险柜</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利旧，只计算搬迁费用</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打印机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利旧，只计算搬迁费用</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w:t>
            </w:r>
            <w:r>
              <w:rPr>
                <w:rFonts w:hint="eastAsia" w:ascii="宋体" w:hAnsi="宋体" w:eastAsia="宋体" w:cs="宋体"/>
                <w:b/>
                <w:i w:val="0"/>
                <w:color w:val="auto"/>
                <w:kern w:val="0"/>
                <w:sz w:val="24"/>
                <w:szCs w:val="24"/>
                <w:u w:val="none"/>
                <w:lang w:val="en-US" w:eastAsia="zh-CN" w:bidi="ar"/>
              </w:rPr>
              <w:t>、门禁系统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人脸识别一体机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1)设备采用7英寸LCD触摸显示屏，分辨率不小于1024*600，屏幕支持多点触控操作，屏幕防冲击防护等级IK04。</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2)设备采用高清双目相机宽动态相机（1路可见光摄像头，1路红外摄像头），最大分辨率为1920×1080，帧率30帧/s。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3)设备支持红外及白光灯补光，并可设置红外及可见光补光灯亮度。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4)设备具有丰富的硬件接口，应不少于以下硬件接口及能力： LAN*1（10M/100M/1000M自适应） ；RS485*1；韦根*1；USB*2；喇叭扬声器；I/O输出*2； I/O输入*4；PSAM*1；SIM*1。</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5)设备的人脸识别距离：0.2~2m；人脸识别高度：1.2~2m（安装高度1.4m，距离1.5m）；人脸识别误识率≤0.01%，准确率≥99.8%，人脸识别速度≤0.2s。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6)设备支持防假体攻击功能，对视频、电子照片、打印照片中的人脸应不能进行人脸识别。</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设备支持人脸识别、刷卡、二维码、密码、指纹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首卡开门、超级权限开门、管理中心远程开门、APP远程开门、室内机及管理机远程开门。并且支持反潜回（防尾随）功能，并可按时间段管控，支持255组时段计划模板。</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8)设备支持局域网、互联网环境的网络通信；支持云平台通信，实现视频、对讲及权限管控功能；支持被4个客户端软件同时实时监听，在线状态下实时上传比对记录。</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9)设备支持比对结果图文提示功能； 支持本地视频预览、人脸动态捕捉；支持查看人员信息、设备状态、设备模式。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10)设备支持管理中心远程视频预览功能；同时支持接入NVR设备，实现视频监控录像。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设备具有数据加密功能，包括支持本地加密存储比对结果、身份信息及抓拍人脸照片；支持实时加密上传比对结果、身份信息及抓拍人脸照片等至管理中心；支持断网续传离线记录加密数据功能；设备对USB导出数据（事件记录及人脸等）应采用加密方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设备支持节能功能，支持在没有用户使用时自动切换到屏保或息屏待机状态，当物体靠近时自动唤醒待机设备，且唤醒距离可调节；支持不开启白光补光灯实现人脸识别；支持在0.001lux低照度或无补光环境下正常实现人脸识别。</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13)系统主要操作响应时间小于1s，电控锁响应时间应小于等于1s，报警响应时间应小于等于1s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14)设备支持IP65防水等级。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15)适用温度范围：-30℃至65℃。</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磁力锁</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280KG磁力锁含安装架、出门按钮等</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副</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控制电源</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标配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安检门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六区检测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（三）</w:t>
            </w:r>
            <w:r>
              <w:rPr>
                <w:rFonts w:hint="eastAsia" w:ascii="宋体" w:hAnsi="宋体" w:eastAsia="宋体" w:cs="宋体"/>
                <w:b/>
                <w:i w:val="0"/>
                <w:color w:val="auto"/>
                <w:kern w:val="0"/>
                <w:sz w:val="24"/>
                <w:szCs w:val="24"/>
                <w:u w:val="none"/>
                <w:lang w:val="en-US" w:eastAsia="zh-CN" w:bidi="ar"/>
              </w:rPr>
              <w:t>、紧急呼叫系统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可视化紧急报警盒</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1)采用嵌入式Linux操作系统,高性能嵌入式SOC处理器，系统运行稳定可靠；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2)前置环形红色背光灯机械按键，环形红色背光灯能定时闪烁，报警按钮处具有“紧急报警”明显标示说明，呼叫接通后的通话过程中按键的红色环形背光灯闪烁频率应加快，指示为当前处于通话状态；</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3)设备支持网口链路、无线链路；PSTN电话链路传输；</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4)支持海康EHOME协议接入，支持GB/T28181协议接入；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5)设备支持2路音频输入和2路音频输出；音频输入和音频输出关系可自由配置，内部含高灵敏度麦克风，拾音距离应达到10米，语音清晰，内置3W扬声器；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6)设备支持将防拆报警、防区报警等报警信息通过网线传送到管理中心，并形成日志文件；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7)支持呼叫转移功能：设备呼叫中心管理机时，可通过呼叫转移功能将呼叫信息转移到其他中心管理机上；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8)支持对讲功能：按下紧急求助按键后呼叫中心管理机，呼叫过程中能听到相应提示音；支持实时全双工双向语音对讲功能；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9)支持同时进行多方实时对讲通话，多台前端设备与多台中心管理机实时多方通话；</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10)支持将音频同步存储到设备SD卡中，当在双向对讲通话时存储；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11)支持中心管理机控制前端设备警灯打开和关闭功能；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12)支持语音播报、分组广播功能；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13)支持外界噪音侦测报警；外界噪音≥60DB（可设置），内置振动探测器接口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14)防护等级：IP65；</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15)工作环境:温度-40℃～70℃,湿度小于93%环境下稳定工作</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紧急报警管理机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1)采用嵌入式Linux操作系统,高性能嵌入式SOC处理器，系统运行稳定可靠；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2)设备集成以下接口：1个10M/100M自适应以太网口，2个RS485半双工接口，1个USB接口，4个报警输入接口，4个报警输出接口,2个音频输入接口,2个音频输出接口；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3)集成7寸彩色LCD电容式触摸屏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4)支持12个触摸按键；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5)面板采用一体式钢化玻璃，后方采用铝合金支架支持多个角度摆放；</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6)集成130万高清摄像头，H.264编码格式，支持分辨率1280*720@30fps；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7)内置全指向麦克风+外接话柄，内置扬声器+外接话柄，支持智能噪声抑制和回声消除处理，音频清晰；</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8)支持电容式触摸屏、触摸按键、机械按键3种操作方式；三个机械按键分别支持挂断&amp;接听、开锁、免提&amp;挂断功能；机械按键的环形蓝色背光灯在屏幕处于亮起时为常亮，在屏幕关闭时关闭；</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9)支持监听前端设备声音，正常说话时可监听距离应达10米；</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10)支持监视查看前端设备的视频图像；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11)支持同时对多台前端设备进行喊话。</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12)支持呼叫转移功能：设备呼叫中心管理机的时候，应可通过呼叫转移功能将呼叫信息转移到其他中心管理机上；</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13)支持语音播报、分组广播功能；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14)支持将防拆报警、防区报警等报警信息通过网线传送到管理中心，并形成日志文件；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15)支持中心管理机控制前端设备警灯打开和关闭功能；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16)电源&amp;功耗：DC12V，≤10W；</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17)工作环境:温度-40℃～70℃,湿度小于93%环境下稳定工作</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（四）</w:t>
            </w:r>
            <w:r>
              <w:rPr>
                <w:rFonts w:hint="eastAsia" w:ascii="宋体" w:hAnsi="宋体" w:eastAsia="宋体" w:cs="宋体"/>
                <w:b/>
                <w:i w:val="0"/>
                <w:color w:val="auto"/>
                <w:kern w:val="0"/>
                <w:sz w:val="24"/>
                <w:szCs w:val="24"/>
                <w:u w:val="none"/>
                <w:lang w:val="en-US" w:eastAsia="zh-CN" w:bidi="ar"/>
              </w:rPr>
              <w:t>、新风系统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单向流净化新风机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风量150m3/h，新风换气功能室内空气循环流通，高效净化功能PM2.5净化率高达99.9%,</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智能型触摸液晶面板</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触摸控制；温度显示；湿度显示；TVOC显示；红外PM2.5传感器+WIFI手机APP</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新风软管</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材质：pvc膜+双层加厚铝箔+钢丝。</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直径：150mm。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壁厚：0.1mm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钢丝：1-1.2mm</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耐温：-30℃~140℃</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最大风速：30m/s</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最大风压：2500Pa</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4.5</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不锈钢网球型排风管罩</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Φ150不锈钢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出风口</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材质：ABS圆型旋转式塑料风口</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规格：Φ150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（五）</w:t>
            </w:r>
            <w:r>
              <w:rPr>
                <w:rFonts w:hint="eastAsia" w:ascii="宋体" w:hAnsi="宋体" w:eastAsia="宋体" w:cs="宋体"/>
                <w:b/>
                <w:i w:val="0"/>
                <w:color w:val="auto"/>
                <w:kern w:val="0"/>
                <w:sz w:val="24"/>
                <w:szCs w:val="24"/>
                <w:u w:val="none"/>
                <w:lang w:val="en-US" w:eastAsia="zh-CN" w:bidi="ar"/>
              </w:rPr>
              <w:t>、空调系统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中央空调</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主机：制冷量：14000W；制冷功率：3850W；制热量：16000W；制热功率：3550W；电源：220V~50Hz；APF：4.0W.h/(w.h)；IPLV(C):5.8W/W；噪音：57dB(A)</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室内机1：面积：18m²；制冷量：3.6kw；制热量：4.0kw；功率：70w；</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室内机2：面积：18m²；制冷量：3.6kw；制热量：4.0kw；功率：70w；</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室内机3：面积：18m²；制冷量：3.6kw；制热量：4.0kw；功率：70w；</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室内机4：面积：30m²；制冷量：7.1kw；制热量：8.0kw；功率：120w</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含10米铜管、安装支架、辅件等.</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（六）</w:t>
            </w:r>
            <w:r>
              <w:rPr>
                <w:rFonts w:hint="eastAsia" w:ascii="宋体" w:hAnsi="宋体" w:eastAsia="宋体" w:cs="宋体"/>
                <w:b/>
                <w:i w:val="0"/>
                <w:color w:val="auto"/>
                <w:kern w:val="0"/>
                <w:sz w:val="24"/>
                <w:szCs w:val="24"/>
                <w:u w:val="none"/>
                <w:lang w:val="en-US" w:eastAsia="zh-CN" w:bidi="ar"/>
              </w:rPr>
              <w:t>、消防系统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消防报警系统主机</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 液晶屏规格：240×160点，可同屏显示150个汉字信息</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 控制器容量：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a. 最大容量为242个地址编码点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b. 可外接64台火灾显示盘；联网时最多可接32台其它类型控制器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c. 30个直接手动操作总线制控制点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d. 配置6路直接控制点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 线制：</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a. 控制器与探测器间采用无极性信号二总线连接</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b. 直接控制点与现场设备采用三线连接，其中COM为公共线，O和COM用于控制启停设备，I和COM用于接收现场设备的反馈信号，输出控制和反馈输入均具有检线功能</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c. 控制器与各类编码模块采用四总线连接（无极性信号二总线、无极性DC24V电源线）</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d. 控制器与火灾显示盘采用四总线连接（有极性通讯二总线、无极性DC24V电源线）</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e. 与彩色CRT系统通过RS-232标准接口连接，最大连接线长度不宜超过15m</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点型光电感烟火灾探测器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1.工作电压：信号总线电压：总线24V   允许范围：16V～28V</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2.工作电流：监视电流≤0.6mA  报警电流≤1.8mA</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3.指示灯：报警确认灯，红色，巡检时闪烁，报警时常亮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4.编码方式：电子编码（编码范围为1～242）</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5.线制：信号二总线无极性</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6.使用环境：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温    度：-10℃～+55℃</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相对湿度≤95%，不凝露</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火灾声光警报器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1.工作电压:信号总线电压:脉动24V允许范围:16V~~28V电源电压:DC24V允许范围:DC20V~~DC28V</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2.工作电流:总线监视电流≤0.8mA电源监视电流≤10mA总线启动电流≤6mA电源动作电流≤90mA</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3.闪光步率:1.1Hz~1.8Hz(DC20V~DC28V)</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4.火警声调声压级:80dB~115dB(正前方3m水平处(A计权))机关枪声调声压级:80dB~110dB(正前方3m水平处(A计权))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5.火警声调变调周期:3.2s~~4.8s机关枪声调不涉及变调周期</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6.编码方式:采用电子编码方式，占一个总线编码点，编码范围可在1~242之间任意设定</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7.线制:四线制，与控制器采用无极性信号二总线连接，与电源线采用无极性二线制连接</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消防整改费用</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按原有建筑管道新建消防水管，包含管道切入大楼原消防主管、停水通水配合、管道刷油等</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（七）</w:t>
            </w:r>
            <w:r>
              <w:rPr>
                <w:rFonts w:hint="eastAsia" w:ascii="宋体" w:hAnsi="宋体" w:eastAsia="宋体" w:cs="宋体"/>
                <w:i w:val="0"/>
                <w:color w:val="auto"/>
                <w:kern w:val="0"/>
                <w:sz w:val="24"/>
                <w:szCs w:val="24"/>
                <w:u w:val="none"/>
                <w:lang w:val="en-US" w:eastAsia="zh-CN" w:bidi="ar"/>
              </w:rPr>
              <w:t>、家具、门柜等</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等候室沙发</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1.8厘阻燃板结构软包饰面，8人位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等候室茶几</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1.8厘阻燃板结构软包饰面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谈话室记录台</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成品桌软包饰面</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谈话室谈话桌</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成品桌软包饰面</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谈话室座椅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成品椅子软包饰面</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监控室操作台</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操作台750*900*1200mm</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监控室座椅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成品椅子</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打印机放置桌</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利旧，只计算搬迁费用</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张</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（八）</w:t>
            </w:r>
            <w:r>
              <w:rPr>
                <w:rFonts w:hint="eastAsia" w:ascii="宋体" w:hAnsi="宋体" w:eastAsia="宋体" w:cs="宋体"/>
                <w:b/>
                <w:i w:val="0"/>
                <w:color w:val="auto"/>
                <w:kern w:val="0"/>
                <w:sz w:val="24"/>
                <w:szCs w:val="24"/>
                <w:u w:val="none"/>
                <w:lang w:val="en-US" w:eastAsia="zh-CN" w:bidi="ar"/>
              </w:rPr>
              <w:t>、线缆敷设</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六类网络信号线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(1)规格:六类双绞线</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220</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(2)类别:双绞线缆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(3)敷设方式:管内穿放</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(4)线缆对数:≤4对</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电源线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(1)材质:(铜芯)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220</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(2)规格:2*1.0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(3)类别:穿多芯软导线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(4)型号:RVV-</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音频线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(1)材质:(铜芯)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55</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(2)规格:2*1.0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(3)类别:穿多芯软导线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(4)型号:RVVP-</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控制线缆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(1)材质:(铜芯)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(2)规格:4*1.0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(3)类别:穿多芯软导线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(4)型号:RVV-</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消防报警线缆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(1)材质:(铜芯)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(2)规格:2*1.5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(3)类别:穿多芯软导线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(4)型号:ZR-RVS-</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配管</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(1)材质:JDG</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290</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米</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(2)规格:25/20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(3)类别:砖、混凝土结构暗配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(4)接地要求:符合验收要求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施工辅件</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底盒、金属软管、水晶头、标签纸、管扣管卡等</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批</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（九）</w:t>
            </w:r>
            <w:r>
              <w:rPr>
                <w:rFonts w:hint="eastAsia" w:ascii="宋体" w:hAnsi="宋体" w:eastAsia="宋体" w:cs="宋体"/>
                <w:b/>
                <w:i w:val="0"/>
                <w:color w:val="auto"/>
                <w:kern w:val="0"/>
                <w:sz w:val="24"/>
                <w:szCs w:val="24"/>
                <w:u w:val="none"/>
                <w:lang w:val="en-US" w:eastAsia="zh-CN" w:bidi="ar"/>
              </w:rPr>
              <w:t>、电气工程</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照明配电箱 AL1</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(1)类别:照明配电箱</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(2)型号:AL1</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穿照明线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(铜芯) WDZB-BYJ-2.5</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998.85</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单线</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穿多芯软导线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(2)规格:4*1.0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42.84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(3)类别:穿多芯软导线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(4)型号:RVV-</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电力电缆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室内铜芯电力电缆敷设 WDZB-YJY-5*6 五芯电力电缆敷设</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16.87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电力电缆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室内铜芯电力电缆敷设 ZR-YJV-4*16+1*10 五芯电力电缆敷设</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电力电缆头</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1KV以下室内干包式铜芯电力电缆(电缆截面≤16mm2) 五芯电力电缆头制作安装</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砖、混凝土结构明配</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(1)材质:JDG</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200.23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(3)类别:砖、混凝土结构暗配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(4)接地要求:符合验收要求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砖、混凝土结构暗配</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(1)材质:JDG</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(3)类别:砖、混凝土结构暗配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(4)接地要求:符合验收要求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LED安全出口灯(带蓄电池)</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(1)类别:LED安全出口灯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(2)型号:(带蓄电池)</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(3)规格:NEM102-G-02B 1W</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(4)安装形式:壁装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LED疏散指示灯(带蓄电池)</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(1)类别:LED安全出口灯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(2)型号:(带蓄电池)</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(3)规格:NEM102-G-02B 1W</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(4)安装形式:壁装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LED筒灯</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(1)类别:LED筒灯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(2)型号:9W</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(3)安装形式:嵌入式</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LED应急筒灯</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(1)类别:LED应急筒灯</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(2)型号:9W</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(3)安装形式:嵌入式</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平板灯</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(1)规格:1200mm*150mm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(2)类别:应急平板灯</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(3)安装形式:嵌入式</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应急平板灯</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(1)规格:1200mm*150mm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(2)类别:应急平板灯</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(3)安装形式:嵌入式</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排气扇</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(1)类别:排气扇</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台</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双联单控开关</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(1)规格:K3A211 D05</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(2)类别:双联单控开关</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二加三安全地插</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(1)规格:EDF20S-Z</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(2)类别:二加三安全地插</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二加三安全插座</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(1)规格:10A</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36</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(2)类别:二加三安全插座</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接线盒安装(暗装开关(插座)盒)</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(1)材质:钢质</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(2)规格:开关(插座)</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(3)类别:接线盒</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(4)安装形式:暗装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接线盒安装(暗装接线盒)</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(1)材质:钢质</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(2)规格:灯头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(3)类别:接线盒</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(4)安装形式:暗装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普通开关、按钮安装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(1)类别:空白面板安装</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金属软管敷设</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(1)规格:(内径≤20mm 每根长≤0.5m)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(2)类别:金属软管敷设</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铁构件</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(1)材质:铁构件</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17.886</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kg</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(2)规格:制作、安装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(3)类别:一般管道支架</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铁构件制作与安装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一般铁构件制作</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0.017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t</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铁构件制作与安装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一般铁构件安装</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0.017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t</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输配电装置系统调试</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(1)类型:交流供电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(2)类别:输配电装置系统调试</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(3)电压等级(kV):(≤1kV)</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（十）、网络弱电工程</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双孔网络地面插座</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(1)类别:双孔网络地面插座</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双孔网络插座</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(1)类别:双孔网络插座</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接线盒安装(暗装开关(插座)盒)</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(1)材质:钢质</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(2)规格:开关(插座)</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(3)类别:接线盒</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(4)安装形式:暗装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砖、混凝土结构暗配</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(1)材质:JDG</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28.36</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(3)类别:砖、混凝土结构暗配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(4)接地要求:符合验收要求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砖、混凝土结构暗配</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(1)材质:JDG</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(2)规格:25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(3)类别:砖、混凝土结构暗配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(4)接地要求:符合验收要求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双绞线缆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(1)规格:六类双绞线</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92.24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(2)类别:双绞线缆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(3)敷设方式:管内穿放</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(4)线缆对数:≤4对</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测试(4对双绞线缆)</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(1)测试类别:超五类</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链路</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(2)测试内容:4对双绞线缆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跳线(RJ45/RJ11接头)</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(1)类别:跳线(RJ45/RJ11接头)</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（十一）、水卫系统</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室内PP-R塑料给水管(热熔连接) DN25</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(1)连接形式:(热熔连接)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(3)介质:给水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(4)材质、规格:PP-R塑料管  DN25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管道消毒、冲洗(公称直径25mm以内)</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(5)压力试验及吹、洗，要求:水压试验及消毒冲洗</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13.68</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室内PP-R塑料给水管(热熔连接) DN20</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(1)连接形式:(热熔连接)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6.17</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(3)介质:给水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(4)材质、规格:PP-R塑料管  DN20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管道消毒、冲洗(公称直径20mm以内)</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(5)压力试验及吹、洗，要求:水压试验及消毒冲洗</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6.17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室内PP-R塑料给水管(热熔连接) DN15</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(1)连接形式:(热熔连接)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(3)介质:给水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(4)材质、规格:PP-R塑料管  DN15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管道消毒、冲洗(公称直径15mm以内)</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(5)压力试验及吹、洗，要求:水压试验及消毒冲洗</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2.48</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截止阀 DN20</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(1)规格、压力等级:DN20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(2)类型:截止阀</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洗脸盆(立柱式 冷水)</w:t>
            </w: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(1)组装形式:立柱式</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组</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(2)材质:陶瓷</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(3)规格、类型:洗脸盆(冷水)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(4)附件类别、数量:角阀、金属软管、排水口等附件安装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坐式大便器安装(连体水箱)</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(1)材质:陶瓷</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(2)规格、类型:坐式大便器安装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(3)附件类别、数量:角阀、金属软管等附件安装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(4)组装形式:(连体水箱)</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凿(压)槽</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(1)规格:(宽mm×深mm70×70)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(2)类型:砖结构</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(3)类别:凿(压)槽</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(4)填充(恢复)方式:剔槽、堵抹、调运砂浆、清理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(5)混凝土标准:根据规范要求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管道挖土方</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(1)土壤类别:三类土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17.35</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(2)管外径:管道公称直径50mm以内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(3)挖沟深度:1m深</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(4)回填要求:符合验收要求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室内塑料排水管(粘接)</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(1)连接形式:管道及管件安装(粘接)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10.32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(3)介质:排水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(4)材质、规格:UPVC塑料管 DN150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(5)压力试验及吹、洗，要求:灌水试验</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室内塑料排水管(粘接)</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(1)连接形式:管道及管件安装(粘接)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(3)介质:排水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(4)材质、规格:UPVC塑料管 DN100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(5)压力试验及吹、洗，要求:灌水试验</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室内塑料排水管(粘接)</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(1)连接形式:管道及管件安装(粘接)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0.64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(3)介质:排水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(4)材质、规格:UPVC塑料管 DN75</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(5)压力试验及吹、洗，要求:灌水试验</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室内塑料排水管(粘接)</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(1)连接形式:管道及管件安装(粘接)</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4.99</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(2)安装部位:室内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(3)介质:排水</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(4)材质、规格:UPVC塑料管 DN50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(5)压力试验及吹、洗，要求:灌水试验</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地漏安装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(1)材质:不锈钢地漏安装</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(2)型号、规格:(公称直径50mm以内 带存水弯)</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管道挖土方</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(1)土壤类别:三类土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1.79</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(2)管外径:管道公称直径50mm以内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(3)挖沟深度:1m深</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(4)回填要求:符合验收要求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管道挖土方</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(1)土壤类别:三类土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(2)管外径:管道公称直径100mm以内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(3)挖沟深度:1m深</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(4)回填要求:符合验收要求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管道挖土方</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(1)土壤类别:三类土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10.32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(2)管外径:管道公称直径200mm以内</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(3)挖沟深度:1m深</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(4)回填要求:符合验收要求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二、装修部份：包含2间谈话室、1间等候室、1间监控室房屋改造及装修</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（一）、拆除部分</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拆除砖（石）砌体(拆除砌体 标准砖)</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(1)砌体类别:拆除原有型材窗240mm墙体</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拆除地面装饰层(拆除塑胶地面)</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(1)拆除的基层类型:拆除原地塑胶地板</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120.63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拆除天棚装饰层(拆除天棚 金属龙骨 石膏面)</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(1)拆除的基层类型:拆除原天花板</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120.63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拆除门窗(拆除整樘门窗)</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(1)构件类别:拆除原窗户</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(2)门窗面积:560*850mm</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拆除门窗(拆除整樘门窗) 面积超过4m2</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(1)构件类别:拆除铁艺门</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(2)门窗面积:10387*2400mm</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（二）、土建工程</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砌块砌体(蒸压加气混凝土砌块墙 现拌砂浆120mm厚以内)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(1)砌块品种、规格、强度等级:加气混凝土砌块 B05</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27.11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(2)墙体类型、砌筑高度:内墙、100mm</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(3)砂浆强度等级:M7.5水泥混合砂浆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砌块砌体(蒸压加气混凝土砌块墙 现拌砂浆200mm厚以内)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(1)砌块品种、规格、强度等级:加气混凝土砌块 B05</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4.72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(2)墙体类型、砌筑高度:内墙、200mm</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(3)砂浆强度等级:M7.5水泥混合砂浆</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每增0.5m砌筑超高增加费</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(1)超高高度:0.5~1.5m</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16.57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内墙面水泥砂浆找平抹灰(砖墙、混凝土墙 9+5mm厚)</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(1)基层类型:砖墙面</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520.03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(2)找平层砂浆厚度、配合比:14mm厚1:3水泥砂浆找平</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C20非泵送混凝土(构造柱)</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(1)混凝土种类（商品混凝土、现场拌制，泵送、非泵送）:非泵送商品混凝土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0.78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(2)混凝土强度等级:C20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C20非泵送混凝土(过梁)</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(1)混凝土种类（商品混凝土、现场拌制，泵送、非泵送）:非泵送商品混凝土</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0.14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(2)混凝土强度等级:C20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圈梁</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(1)水平系梁、卫生间反梁</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m3</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(2)混凝土种类（商品混凝土、现场拌制，泵送、非泵送）:非泵送商品混凝土</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(3)混凝土强度等级:C20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砌块墙钢丝网加固</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(1)材料品种、规格:与砌体不同材料交接处</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56.69</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(2)加固方式:200mm宽钢丝网</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注入式建筑植筋(深度15d φ18以内)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(1)植筋方式:注入式建筑植筋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109</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(2)规格:φ18</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(3)深度:15d</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现浇构件圆钢筋HPB300以内(直径6mm)</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(1)钢筋种类、规格:HPB300、Φ6圆钢筋</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0.02</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t</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现浇构件圆钢筋HPB300以内(直径8mm)</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(1)钢筋种类、规格:HPB300、Φ8圆钢筋</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0.07</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t</w:t>
            </w:r>
          </w:p>
        </w:tc>
      </w:tr>
      <w:tr>
        <w:tblPrEx>
          <w:tblLayout w:type="fixed"/>
          <w:tblCellMar>
            <w:top w:w="0" w:type="dxa"/>
            <w:left w:w="0" w:type="dxa"/>
            <w:bottom w:w="0" w:type="dxa"/>
            <w:right w:w="0" w:type="dxa"/>
          </w:tblCellMar>
        </w:tblPrEx>
        <w:trPr>
          <w:trHeight w:val="400" w:hRule="atLeast"/>
        </w:trPr>
        <w:tc>
          <w:tcPr>
            <w:tcW w:w="88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（三）、装饰工程</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橡塑面层(橡胶板楼地面)</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(1)等候室、入门、过道、监控室、谈话室1、2、卫生间</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114.59</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(2)面层材料品种、规格、颜色:3mm厚阻燃B1同质塑胶地板</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(3)粘结层厚度、材料种类:4mm厚自流平水泥砂浆基层</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自流平水泥砂浆楼地面基层(4mm厚)</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(4)自流平界面剂一道</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114.59</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水泥砂浆找平层(在混凝土 或硬基层面上 30mm厚)</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(1)卫生间</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(2)找平层厚度、砂浆配合比:30厚1:3水泥砂浆找平</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涂料防水(水泥基渗透结晶型防水涂料3mm厚 平面)</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(1)防水膜品种:聚合物水泥基防水涂料</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(2)涂膜厚度、遍数:3mm厚、1遍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(3)反边高度:1800mm</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涂料防水(水泥基渗透结晶型防水涂料3mm厚 立面)</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(1)防水膜品种:聚合物水泥基防水涂料</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19.08</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(2)涂膜厚度、遍数:3mm厚、1遍</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墙面饰面(高密度高回弹海绵软包 )</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(1)基层材料种类、规格:9厘阻燃板</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342.63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墙面饰面(阻燃板板基层)</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(2)面层材料品种、规格、颜色:3公分高密度高回弹海绵软包，阻燃皮革面料</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342.63</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天棚龙骨(装配式U型轻钢(不上人型) 面层规格 600mm×600mm 平面) 单层结构</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(1)H=2700mm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114.35</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(2)龙骨材料种类、规格、中距:轻钢龙骨(不上人型)</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6mm厚硅酸钙板</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(3)基层材料种类、规格:6mm厚硅酸钙板基层</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114.35</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内墙涂料(天棚面 二遍)</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(4)面层材料品种、规格:刮腻子、刷白色乳胶漆（一底两面）</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114.35</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天棚开孔(灯光孔、风口，每个面积在0.02m2以内)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(1)天棚面层开孔:天棚开孔(灯光孔)</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天棚开孔(灯光孔、风口，每个面积在0.5m2以内)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(1)天棚面层开孔:天棚开孔(灯光孔)</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铝合金窗(铝合金推拉窗制作)</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(1)框、扇材质:白色铝合金推拉窗</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6.81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铝合金窗(铝合金推拉窗安装)</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(2)玻璃品种、厚度:8mm透明钢化玻璃</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6.81</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防火、防盗窗(防盗格栅窗 不锈钢管)</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(1)框外围尺寸:详图纸</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6.81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(2)框、扇材质:25mm*25mm304#不锈钢防盗网</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成品木门安装(带门套成品装饰平开复合木门 单开)</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(1)门代号及洞口尺寸:900*2200mm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樘</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(2)材质:木作软包木门（含门套、五金等）</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储物柜，长1540*高2300*深400mm</w:t>
            </w: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(1)台柜规格:长1540*高2300*深400mm</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m2</w:t>
            </w:r>
          </w:p>
        </w:tc>
      </w:tr>
      <w:tr>
        <w:tblPrEx>
          <w:tblLayout w:type="fixed"/>
          <w:tblCellMar>
            <w:top w:w="0" w:type="dxa"/>
            <w:left w:w="0" w:type="dxa"/>
            <w:bottom w:w="0" w:type="dxa"/>
            <w:right w:w="0" w:type="dxa"/>
          </w:tblCellMar>
        </w:tblPrEx>
        <w:trPr>
          <w:gridAfter w:val="1"/>
          <w:wAfter w:w="2" w:type="dxa"/>
          <w:trHeight w:val="4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auto"/>
                <w:sz w:val="24"/>
                <w:szCs w:val="24"/>
                <w:u w:val="none"/>
              </w:rPr>
            </w:pPr>
          </w:p>
        </w:tc>
        <w:tc>
          <w:tcPr>
            <w:tcW w:w="56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(2)材料种类、规格:18mm多层三聚氰胺板储藏柜</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bl>
    <w:p>
      <w:pPr>
        <w:pStyle w:val="9"/>
        <w:widowControl/>
        <w:spacing w:before="75" w:beforeAutospacing="0" w:after="75" w:afterAutospacing="0"/>
        <w:rPr>
          <w:rFonts w:ascii="宋体" w:hAnsi="宋体" w:cs="宋体"/>
          <w:b/>
          <w:bCs/>
          <w:color w:val="auto"/>
          <w:highlight w:val="none"/>
        </w:rPr>
      </w:pPr>
    </w:p>
    <w:p>
      <w:pPr>
        <w:pStyle w:val="9"/>
        <w:widowControl/>
        <w:numPr>
          <w:ilvl w:val="0"/>
          <w:numId w:val="3"/>
        </w:numPr>
        <w:spacing w:before="75" w:beforeAutospacing="0" w:after="75" w:afterAutospacing="0"/>
        <w:rPr>
          <w:rFonts w:ascii="宋体" w:hAnsi="宋体" w:cs="宋体"/>
          <w:color w:val="auto"/>
          <w:highlight w:val="none"/>
        </w:rPr>
      </w:pPr>
      <w:r>
        <w:rPr>
          <w:rFonts w:hint="eastAsia" w:ascii="宋体" w:hAnsi="宋体" w:cs="宋体"/>
          <w:b/>
          <w:bCs/>
          <w:color w:val="auto"/>
          <w:highlight w:val="none"/>
        </w:rPr>
        <w:t>包</w:t>
      </w:r>
      <w:r>
        <w:rPr>
          <w:rFonts w:ascii="宋体" w:hAnsi="宋体" w:cs="宋体"/>
          <w:b/>
          <w:bCs/>
          <w:color w:val="auto"/>
          <w:highlight w:val="none"/>
        </w:rPr>
        <w:t>1</w:t>
      </w:r>
      <w:r>
        <w:rPr>
          <w:rFonts w:hint="eastAsia" w:ascii="宋体" w:hAnsi="宋体" w:cs="宋体"/>
          <w:b/>
          <w:bCs/>
          <w:color w:val="auto"/>
          <w:highlight w:val="none"/>
        </w:rPr>
        <w:t>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 xml:space="preserve">、交付地点：福建省泉州市丰泽区东海大街398号泉州师范学院 </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lang w:val="en-US" w:eastAsia="zh-CN"/>
        </w:rPr>
        <w:t>3</w:t>
      </w:r>
      <w:r>
        <w:rPr>
          <w:rFonts w:hint="eastAsia" w:ascii="宋体" w:hAnsi="宋体" w:cs="宋体"/>
          <w:color w:val="auto"/>
          <w:highlight w:val="none"/>
        </w:rPr>
        <w:t>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hAns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、交付条件：整套设备各组成部分必须是完整的、全新的、功能齐全的；并且符合国家质量检测标准的，符合谈判文件中的规格型号及配置要求的设备</w:t>
      </w:r>
      <w:r>
        <w:rPr>
          <w:rFonts w:ascii="宋体" w:hAnsi="宋体" w:cs="宋体"/>
          <w:color w:val="auto"/>
          <w:highlight w:val="none"/>
        </w:rPr>
        <w:t>(</w:t>
      </w:r>
      <w:r>
        <w:rPr>
          <w:rFonts w:hint="eastAsia" w:ascii="宋体" w:hAnsi="宋体" w:cs="宋体"/>
          <w:color w:val="auto"/>
          <w:highlight w:val="none"/>
        </w:rPr>
        <w:t>包括零部件</w:t>
      </w:r>
      <w:r>
        <w:rPr>
          <w:rFonts w:ascii="宋体" w:hAnsi="宋体" w:cs="宋体"/>
          <w:color w:val="auto"/>
          <w:highlight w:val="none"/>
        </w:rPr>
        <w:t>)</w:t>
      </w:r>
      <w:r>
        <w:rPr>
          <w:rFonts w:hint="eastAsia" w:ascii="宋体" w:hAnsi="宋体" w:cs="宋体"/>
          <w:color w:val="auto"/>
          <w:highlight w:val="none"/>
        </w:rPr>
        <w:t>。</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。说明：成交供应商中标供应商在与采购人签订合同前，应向采购人提交按成交总金额的</w:t>
      </w:r>
      <w:r>
        <w:rPr>
          <w:rFonts w:ascii="宋体" w:hAnsi="宋体" w:cs="宋体"/>
          <w:color w:val="auto"/>
          <w:highlight w:val="none"/>
        </w:rPr>
        <w:t>5%</w:t>
      </w:r>
      <w:r>
        <w:rPr>
          <w:rFonts w:hint="eastAsia" w:ascii="宋体" w:hAnsi="宋体" w:cs="宋体"/>
          <w:color w:val="auto"/>
          <w:highlight w:val="none"/>
        </w:rPr>
        <w:t>计算的履约保证金。</w:t>
      </w:r>
      <w:r>
        <w:rPr>
          <w:rFonts w:ascii="宋体" w:hAnsi="宋体" w:cs="宋体"/>
          <w:color w:val="auto"/>
          <w:highlight w:val="none"/>
        </w:rPr>
        <w:t xml:space="preserve"> 2</w:t>
      </w:r>
      <w:r>
        <w:rPr>
          <w:rFonts w:hint="eastAsia" w:ascii="宋体" w:hAnsi="宋体" w:cs="宋体"/>
          <w:color w:val="auto"/>
          <w:highlight w:val="none"/>
        </w:rPr>
        <w:t>、该履约保证金在正式验收合格后，转为质保金，质保金在供应商供应的货物全部验收合格后满</w:t>
      </w:r>
      <w:r>
        <w:rPr>
          <w:rFonts w:hint="eastAsia" w:ascii="宋体" w:hAnsi="宋体" w:cs="宋体"/>
          <w:color w:val="auto"/>
          <w:highlight w:val="none"/>
          <w:lang w:val="en-US" w:eastAsia="zh-CN"/>
        </w:rPr>
        <w:t>1</w:t>
      </w:r>
      <w:r>
        <w:rPr>
          <w:rFonts w:hint="eastAsia" w:ascii="宋体" w:hAnsi="宋体" w:cs="宋体"/>
          <w:color w:val="auto"/>
          <w:highlight w:val="none"/>
        </w:rPr>
        <w:t>年且无质量及售后服务问题时一个月内一次性无息退还。供应商在签订合同前需提供《保修承诺书》承诺在退还履约保证金后将继续履行售后质保义务，直至质保期结束。</w:t>
      </w:r>
    </w:p>
    <w:p>
      <w:pPr>
        <w:pStyle w:val="9"/>
        <w:widowControl/>
        <w:spacing w:before="75" w:beforeAutospacing="0" w:after="75"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10"/>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widowControl/>
              <w:jc w:val="left"/>
              <w:rPr>
                <w:color w:val="auto"/>
                <w:sz w:val="24"/>
                <w:highlight w:val="none"/>
              </w:rPr>
            </w:pPr>
            <w:r>
              <w:rPr>
                <w:color w:val="auto"/>
                <w:sz w:val="24"/>
                <w:highlight w:val="none"/>
              </w:rPr>
              <w:t>1</w:t>
            </w:r>
            <w:r>
              <w:rPr>
                <w:rFonts w:hint="eastAsia"/>
                <w:color w:val="auto"/>
                <w:sz w:val="24"/>
                <w:highlight w:val="none"/>
              </w:rPr>
              <w:t>、采购单位根据谈判文件和合同所规定的技术要求、规格质量及其它要求，组成项目验收小组对采购项目进行验收，验收合格后，签发《政府采购验收单》。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、验收规范：生产厂家的产品说明书、合格证书及技术资料等；国家现行规范；当地监督管理部门要求的安全规范以及采购文件的规定。</w:t>
            </w:r>
            <w:r>
              <w:rPr>
                <w:color w:val="auto"/>
                <w:sz w:val="24"/>
                <w:highlight w:val="none"/>
              </w:rPr>
              <w:t xml:space="preserve"> 4</w:t>
            </w:r>
            <w:r>
              <w:rPr>
                <w:rFonts w:hint="eastAsia"/>
                <w:color w:val="auto"/>
                <w:sz w:val="24"/>
                <w:highlight w:val="none"/>
              </w:rPr>
              <w:t>、验收程序：货物验收分出厂检验、货到初步验收、安装调试验收三个阶段。</w:t>
            </w:r>
            <w:r>
              <w:rPr>
                <w:color w:val="auto"/>
                <w:sz w:val="24"/>
                <w:highlight w:val="none"/>
              </w:rPr>
              <w:t xml:space="preserve"> 5</w:t>
            </w:r>
            <w:r>
              <w:rPr>
                <w:rFonts w:hint="eastAsia"/>
                <w:color w:val="auto"/>
                <w:sz w:val="24"/>
                <w:highlight w:val="none"/>
              </w:rPr>
              <w:t>、出厂检验：</w:t>
            </w:r>
            <w:r>
              <w:rPr>
                <w:rFonts w:hint="eastAsia" w:ascii="宋体" w:hAnsi="宋体" w:cs="宋体"/>
                <w:color w:val="auto"/>
                <w:highlight w:val="none"/>
              </w:rPr>
              <w:t>成交供应商</w:t>
            </w:r>
            <w:r>
              <w:rPr>
                <w:rFonts w:hint="eastAsia" w:ascii="宋体" w:hAnsi="宋体" w:cs="宋体"/>
                <w:color w:val="auto"/>
                <w:kern w:val="0"/>
                <w:sz w:val="24"/>
                <w:highlight w:val="none"/>
              </w:rPr>
              <w:t>需提供设备、安装材料、工具和文件的发货清单和计划，发货计划应经采购人认可后实施。</w:t>
            </w:r>
            <w:r>
              <w:rPr>
                <w:rFonts w:hint="eastAsia" w:ascii="宋体" w:hAnsi="宋体" w:cs="宋体"/>
                <w:color w:val="auto"/>
                <w:highlight w:val="none"/>
              </w:rPr>
              <w:t>成交供应商</w:t>
            </w:r>
            <w:r>
              <w:rPr>
                <w:rFonts w:hint="eastAsia" w:ascii="宋体" w:hAnsi="宋体" w:cs="宋体"/>
                <w:color w:val="auto"/>
                <w:kern w:val="0"/>
                <w:sz w:val="24"/>
                <w:highlight w:val="none"/>
              </w:rPr>
              <w:t>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color w:val="auto"/>
                <w:sz w:val="24"/>
                <w:highlight w:val="none"/>
              </w:rPr>
              <w:t>6</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 xml:space="preserve"> 7</w:t>
            </w:r>
            <w:r>
              <w:rPr>
                <w:rFonts w:hint="eastAsia"/>
                <w:color w:val="auto"/>
                <w:sz w:val="24"/>
                <w:highlight w:val="none"/>
              </w:rPr>
              <w:t>、安装调试验收：</w:t>
            </w:r>
            <w:r>
              <w:rPr>
                <w:rFonts w:hint="eastAsia" w:ascii="宋体" w:hAnsi="宋体" w:cs="宋体"/>
                <w:color w:val="auto"/>
                <w:highlight w:val="none"/>
              </w:rPr>
              <w:t>成交供应商</w:t>
            </w:r>
            <w:r>
              <w:rPr>
                <w:rFonts w:hint="eastAsia"/>
                <w:color w:val="auto"/>
                <w:sz w:val="24"/>
                <w:highlight w:val="none"/>
              </w:rPr>
              <w:t>根据采购要求进行货物安装、调试后，由采购人进行使用性能方面的验收（最终验收）。各项指标和参数应符合验收标准，凡未达到质量要求，作退货处理，</w:t>
            </w:r>
            <w:r>
              <w:rPr>
                <w:rFonts w:hint="eastAsia" w:ascii="宋体" w:hAnsi="宋体" w:cs="宋体"/>
                <w:color w:val="auto"/>
                <w:highlight w:val="none"/>
              </w:rPr>
              <w:t>成交供应商</w:t>
            </w:r>
            <w:r>
              <w:rPr>
                <w:rFonts w:hint="eastAsia"/>
                <w:color w:val="auto"/>
                <w:sz w:val="24"/>
                <w:highlight w:val="none"/>
              </w:rPr>
              <w:t>承担违约责任。</w:t>
            </w:r>
            <w:r>
              <w:rPr>
                <w:color w:val="auto"/>
                <w:sz w:val="24"/>
                <w:highlight w:val="none"/>
              </w:rPr>
              <w:t xml:space="preserve"> 8</w:t>
            </w:r>
            <w:r>
              <w:rPr>
                <w:rFonts w:hint="eastAsia"/>
                <w:color w:val="auto"/>
                <w:sz w:val="24"/>
                <w:highlight w:val="none"/>
              </w:rPr>
              <w:t>、投标人不得虚报各项技术指标，成交产品若不能符合技术要求，</w:t>
            </w:r>
            <w:r>
              <w:rPr>
                <w:rFonts w:hint="eastAsia" w:ascii="宋体" w:hAnsi="宋体" w:cs="宋体"/>
                <w:color w:val="auto"/>
                <w:highlight w:val="none"/>
              </w:rPr>
              <w:t>成交供应商</w:t>
            </w:r>
            <w:r>
              <w:rPr>
                <w:rFonts w:hint="eastAsia"/>
                <w:color w:val="auto"/>
                <w:sz w:val="24"/>
                <w:highlight w:val="none"/>
              </w:rPr>
              <w:t>必须无条件及时换货，并承担由此给采购单位造成的一切损失。</w:t>
            </w:r>
            <w:r>
              <w:rPr>
                <w:color w:val="auto"/>
                <w:sz w:val="24"/>
                <w:highlight w:val="none"/>
              </w:rPr>
              <w:t xml:space="preserve"> 9</w:t>
            </w:r>
            <w:r>
              <w:rPr>
                <w:rFonts w:hint="eastAsia"/>
                <w:color w:val="auto"/>
                <w:sz w:val="24"/>
                <w:highlight w:val="none"/>
              </w:rPr>
              <w:t>、安装货物由</w:t>
            </w:r>
            <w:r>
              <w:rPr>
                <w:rFonts w:hint="eastAsia" w:ascii="宋体" w:hAnsi="宋体" w:cs="宋体"/>
                <w:color w:val="auto"/>
                <w:highlight w:val="none"/>
              </w:rPr>
              <w:t>成交供应商</w:t>
            </w:r>
            <w:r>
              <w:rPr>
                <w:rFonts w:hint="eastAsia"/>
                <w:color w:val="auto"/>
                <w:sz w:val="24"/>
                <w:highlight w:val="none"/>
              </w:rPr>
              <w:t>按照合同约定的具体数量、地点及时间运送到安装现场进行安装，并负责安装调试工作，经最终验收合格后，交付采购人使用。</w:t>
            </w:r>
            <w:r>
              <w:rPr>
                <w:color w:val="auto"/>
                <w:sz w:val="24"/>
                <w:highlight w:val="none"/>
              </w:rPr>
              <w:t xml:space="preserve"> 10</w:t>
            </w:r>
            <w:r>
              <w:rPr>
                <w:rFonts w:hint="eastAsia"/>
                <w:color w:val="auto"/>
                <w:sz w:val="24"/>
                <w:highlight w:val="none"/>
              </w:rPr>
              <w:t>、培训：</w:t>
            </w:r>
            <w:r>
              <w:rPr>
                <w:rFonts w:hint="eastAsia" w:ascii="宋体" w:hAnsi="宋体" w:cs="宋体"/>
                <w:color w:val="auto"/>
                <w:highlight w:val="none"/>
              </w:rPr>
              <w:t>成交供应商</w:t>
            </w:r>
            <w:r>
              <w:rPr>
                <w:rFonts w:hint="eastAsia"/>
                <w:color w:val="auto"/>
                <w:sz w:val="24"/>
                <w:highlight w:val="none"/>
              </w:rPr>
              <w:t>应结合本次采购的货物，有计划地对采购人派出管理、维护人员进行安装现场的基本知识、使用、维护及保养技术的培训。</w:t>
            </w:r>
            <w:r>
              <w:rPr>
                <w:color w:val="auto"/>
                <w:sz w:val="24"/>
                <w:highlight w:val="none"/>
              </w:rPr>
              <w:t xml:space="preserve"> 11</w:t>
            </w:r>
            <w:r>
              <w:rPr>
                <w:rFonts w:hint="eastAsia"/>
                <w:color w:val="auto"/>
                <w:sz w:val="24"/>
                <w:highlight w:val="none"/>
              </w:rPr>
              <w:t>、技术资料要求</w:t>
            </w:r>
            <w:r>
              <w:rPr>
                <w:color w:val="auto"/>
                <w:sz w:val="24"/>
                <w:highlight w:val="none"/>
              </w:rPr>
              <w:t xml:space="preserve"> 1</w:t>
            </w:r>
            <w:r>
              <w:rPr>
                <w:rFonts w:hint="eastAsia"/>
                <w:color w:val="auto"/>
                <w:sz w:val="24"/>
                <w:highlight w:val="none"/>
              </w:rPr>
              <w:t>）、包装和装箱的详细情况说明；</w:t>
            </w:r>
            <w:r>
              <w:rPr>
                <w:color w:val="auto"/>
                <w:sz w:val="24"/>
                <w:highlight w:val="none"/>
              </w:rPr>
              <w:t xml:space="preserve"> 2</w:t>
            </w:r>
            <w:r>
              <w:rPr>
                <w:rFonts w:hint="eastAsia"/>
                <w:color w:val="auto"/>
                <w:sz w:val="24"/>
                <w:highlight w:val="none"/>
              </w:rPr>
              <w:t>）、</w:t>
            </w:r>
            <w:r>
              <w:rPr>
                <w:rFonts w:hint="eastAsia" w:ascii="宋体" w:hAnsi="宋体" w:cs="宋体"/>
                <w:color w:val="auto"/>
                <w:highlight w:val="none"/>
              </w:rPr>
              <w:t>成交供应商</w:t>
            </w:r>
            <w:r>
              <w:rPr>
                <w:rFonts w:hint="eastAsia"/>
                <w:color w:val="auto"/>
                <w:sz w:val="24"/>
                <w:highlight w:val="none"/>
              </w:rPr>
              <w:t>应向采购人提供完整的技术资料中文壹套（技术说明书、使用说明书、维修手册、安装维修手册、操作手册、常用易消耗品单价等）。</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r>
        <w:rPr>
          <w:rFonts w:ascii="宋体" w:hAnsi="宋体" w:cs="宋体"/>
          <w:color w:val="auto"/>
          <w:kern w:val="0"/>
          <w:sz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002"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货到现场安装调试完毕，经正式验收合格并收到税务发票后，采购单位1个月内支付合同总价100%的款项。</w:t>
            </w:r>
          </w:p>
        </w:tc>
      </w:tr>
    </w:tbl>
    <w:p>
      <w:pPr>
        <w:pStyle w:val="9"/>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、设备安装及调试、验收</w:t>
      </w:r>
    </w:p>
    <w:p>
      <w:pPr>
        <w:pStyle w:val="9"/>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成交供应商应负责将设备检验合格后，免费送至用户所在地并提供设备的免费安装。</w:t>
      </w:r>
    </w:p>
    <w:p>
      <w:pPr>
        <w:pStyle w:val="9"/>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成交供应商负责组织专业技术人员进行设备安装调试，用户应提供必须的基本条件和专人配合，保证各项安装工作的顺利进行。</w:t>
      </w:r>
    </w:p>
    <w:p>
      <w:pPr>
        <w:pStyle w:val="9"/>
        <w:widowControl/>
        <w:spacing w:before="75" w:beforeAutospacing="0" w:after="75" w:afterAutospacing="0"/>
        <w:ind w:left="480" w:hanging="480" w:hangingChars="200"/>
        <w:rPr>
          <w:rFonts w:hint="eastAsia" w:ascii="宋体" w:hAnsi="宋体" w:cs="宋体"/>
          <w:color w:val="auto"/>
          <w:highlight w:val="none"/>
        </w:rPr>
      </w:pPr>
      <w:r>
        <w:rPr>
          <w:rFonts w:ascii="宋体" w:hAnsi="宋体" w:cs="宋体"/>
          <w:color w:val="auto"/>
          <w:highlight w:val="none"/>
        </w:rPr>
        <w:t>8.3</w:t>
      </w:r>
      <w:r>
        <w:rPr>
          <w:rFonts w:hint="eastAsia" w:ascii="宋体" w:hAnsi="宋体" w:cs="宋体"/>
          <w:color w:val="auto"/>
          <w:highlight w:val="none"/>
        </w:rPr>
        <w:t>设备验收前，成交供</w:t>
      </w:r>
      <w:r>
        <w:rPr>
          <w:rFonts w:ascii="宋体" w:hAnsi="宋体" w:cs="宋体"/>
          <w:color w:val="auto"/>
          <w:highlight w:val="none"/>
        </w:rPr>
        <w:t xml:space="preserve"> </w:t>
      </w:r>
      <w:r>
        <w:rPr>
          <w:rFonts w:hint="eastAsia" w:ascii="宋体" w:hAnsi="宋体" w:cs="宋体"/>
          <w:color w:val="auto"/>
          <w:highlight w:val="none"/>
        </w:rPr>
        <w:t>应商须提供完整的技术资料</w:t>
      </w:r>
      <w:r>
        <w:rPr>
          <w:rFonts w:ascii="宋体" w:hAnsi="宋体" w:cs="宋体"/>
          <w:color w:val="auto"/>
          <w:highlight w:val="none"/>
        </w:rPr>
        <w:t>(</w:t>
      </w:r>
      <w:r>
        <w:rPr>
          <w:rFonts w:hint="eastAsia" w:ascii="宋体" w:hAnsi="宋体" w:cs="宋体"/>
          <w:color w:val="auto"/>
          <w:highlight w:val="none"/>
        </w:rPr>
        <w:t>包括说明书、用户手册、保养手册、出厂明细表或装箱单、制造厂质量合格证书及其他相关文件资料</w:t>
      </w:r>
      <w:r>
        <w:rPr>
          <w:rFonts w:ascii="宋体" w:hAnsi="宋体" w:cs="宋体"/>
          <w:color w:val="auto"/>
          <w:highlight w:val="none"/>
        </w:rPr>
        <w:t>)</w:t>
      </w:r>
      <w:r>
        <w:rPr>
          <w:rFonts w:hint="eastAsia" w:ascii="宋体" w:hAnsi="宋体" w:cs="宋体"/>
          <w:color w:val="auto"/>
          <w:highlight w:val="none"/>
        </w:rPr>
        <w:t>。</w:t>
      </w:r>
    </w:p>
    <w:p>
      <w:pPr>
        <w:pStyle w:val="9"/>
        <w:widowControl/>
        <w:spacing w:before="75" w:beforeAutospacing="0" w:after="75" w:afterAutospacing="0"/>
        <w:rPr>
          <w:rFonts w:ascii="宋体" w:hAnsi="宋体" w:cs="宋体"/>
          <w:b/>
          <w:bCs/>
          <w:color w:val="auto"/>
          <w:highlight w:val="none"/>
        </w:rPr>
      </w:pPr>
      <w:r>
        <w:rPr>
          <w:rFonts w:hint="eastAsia" w:ascii="宋体" w:hAnsi="宋体" w:cs="宋体"/>
          <w:b/>
          <w:bCs/>
          <w:color w:val="auto"/>
          <w:highlight w:val="none"/>
          <w:lang w:val="en-US" w:eastAsia="zh-CN"/>
        </w:rPr>
        <w:t>9</w:t>
      </w:r>
      <w:r>
        <w:rPr>
          <w:rFonts w:hint="eastAsia" w:ascii="宋体" w:hAnsi="宋体" w:cs="宋体"/>
          <w:b/>
          <w:bCs/>
          <w:color w:val="auto"/>
          <w:highlight w:val="none"/>
        </w:rPr>
        <w:t>、施工要求</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.1 供 应商应能提供良好的技术支持和快速的应急响应和处理能力。</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.2 供 应商应严格执行采购人所提供的施工工艺规范及相关规定（如施工</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rPr>
        <w:t>设计图要求），成交供 应商自行承担与成交项目有关的安全责任。施工过程中，若出现重大安全事故（包含一切安全生产事故），由成交供应商全权负责并承担相应的责任，依据相关法律法规的规定成交供应商需暂停施工，由此对工期造成延误，成交供应商应承担相关的违约责任。</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.3 成交供应商不得以任何形式将工程全部或部分转包给第三方。</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.4 成交供应商应严格按图施工，遇有变更时需经采购人书面同意后方可施工。</w:t>
      </w:r>
      <w:r>
        <w:rPr>
          <w:rFonts w:hint="eastAsia" w:ascii="宋体" w:hAnsi="宋体" w:cs="宋体"/>
          <w:b/>
          <w:bCs/>
          <w:color w:val="auto"/>
          <w:highlight w:val="none"/>
        </w:rPr>
        <w:t>因成交供应商原因导致工程造价提高，成交供应商需承担工程造价增加部分的费用。</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成交供应商自购的用于本</w:t>
      </w:r>
      <w:r>
        <w:rPr>
          <w:rFonts w:hint="eastAsia" w:ascii="宋体" w:hAnsi="宋体" w:cs="宋体"/>
          <w:color w:val="auto"/>
          <w:highlight w:val="none"/>
          <w:lang w:eastAsia="zh-CN"/>
        </w:rPr>
        <w:t>项目</w:t>
      </w:r>
      <w:r>
        <w:rPr>
          <w:rFonts w:hint="eastAsia" w:ascii="宋体" w:hAnsi="宋体" w:cs="宋体"/>
          <w:color w:val="auto"/>
          <w:highlight w:val="none"/>
        </w:rPr>
        <w:t>的材料设备应是合格产品且符合规范，在材料设备进场前应经采购人现场人员签字确认，否则采购人有权拒绝进场。</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因成交供应商原因导致</w:t>
      </w:r>
      <w:r>
        <w:rPr>
          <w:rFonts w:hint="eastAsia" w:ascii="宋体" w:hAnsi="宋体" w:cs="宋体"/>
          <w:color w:val="auto"/>
          <w:highlight w:val="none"/>
          <w:lang w:eastAsia="zh-CN"/>
        </w:rPr>
        <w:t>项目</w:t>
      </w:r>
      <w:r>
        <w:rPr>
          <w:rFonts w:hint="eastAsia" w:ascii="宋体" w:hAnsi="宋体" w:cs="宋体"/>
          <w:color w:val="auto"/>
          <w:highlight w:val="none"/>
        </w:rPr>
        <w:t>工期延误，采购人将在结算款中直接扣除违约金。</w:t>
      </w:r>
    </w:p>
    <w:p>
      <w:pPr>
        <w:pStyle w:val="9"/>
        <w:widowControl/>
        <w:spacing w:before="75" w:beforeAutospacing="0" w:after="75" w:afterAutospacing="0"/>
        <w:ind w:left="480" w:hanging="480" w:hanging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如成交供应商以实际施工中遇到</w:t>
      </w:r>
      <w:r>
        <w:rPr>
          <w:rFonts w:hint="eastAsia" w:ascii="宋体" w:hAnsi="宋体" w:cs="宋体"/>
          <w:color w:val="auto"/>
          <w:highlight w:val="none"/>
          <w:lang w:eastAsia="zh-CN"/>
        </w:rPr>
        <w:t>第三章采购内容及要求</w:t>
      </w:r>
      <w:r>
        <w:rPr>
          <w:rFonts w:hint="eastAsia" w:ascii="宋体" w:hAnsi="宋体" w:cs="宋体"/>
          <w:color w:val="auto"/>
          <w:highlight w:val="none"/>
        </w:rPr>
        <w:t>中未体现的项目为由、停止施工而导致的工期延误，采购人将在结算款中直接扣除违约金。</w:t>
      </w:r>
    </w:p>
    <w:p>
      <w:pPr>
        <w:pStyle w:val="9"/>
        <w:widowControl/>
        <w:spacing w:before="75" w:beforeAutospacing="0" w:after="75" w:afterAutospacing="0"/>
        <w:ind w:left="480" w:hanging="480" w:hanging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采购人现场管理人员一经发现工程质量不符合设 计要求、质量标准、违反安全施工规定的，或者工程资料报送不及时、不准确的，采购人将向成交供应商开具限期整改通知单，要求成交供 应商返工整改，由此产生的费用由成交供应商承担，同时给予相应处罚。</w:t>
      </w:r>
    </w:p>
    <w:p>
      <w:pPr>
        <w:pStyle w:val="9"/>
        <w:widowControl/>
        <w:spacing w:before="75" w:beforeAutospacing="0" w:after="75" w:afterAutospacing="0"/>
        <w:rPr>
          <w:rFonts w:ascii="宋体" w:cs="宋体"/>
          <w:b/>
          <w:bCs/>
          <w:color w:val="auto"/>
          <w:highlight w:val="none"/>
        </w:rPr>
      </w:pPr>
      <w:r>
        <w:rPr>
          <w:rFonts w:hint="eastAsia" w:ascii="宋体" w:hAnsi="宋体" w:cs="宋体"/>
          <w:b/>
          <w:bCs/>
          <w:color w:val="auto"/>
          <w:highlight w:val="none"/>
          <w:lang w:val="en-US" w:eastAsia="zh-CN"/>
        </w:rPr>
        <w:t>10</w:t>
      </w:r>
      <w:r>
        <w:rPr>
          <w:rFonts w:hint="eastAsia" w:ascii="宋体" w:hAnsi="宋体" w:cs="宋体"/>
          <w:b/>
          <w:bCs/>
          <w:color w:val="auto"/>
          <w:highlight w:val="none"/>
        </w:rPr>
        <w:t>、售</w:t>
      </w:r>
      <w:r>
        <w:rPr>
          <w:rFonts w:ascii="宋体" w:hAnsi="宋体" w:cs="宋体"/>
          <w:b/>
          <w:bCs/>
          <w:color w:val="auto"/>
          <w:highlight w:val="none"/>
        </w:rPr>
        <w:t xml:space="preserve"> </w:t>
      </w:r>
      <w:r>
        <w:rPr>
          <w:rFonts w:hint="eastAsia" w:ascii="宋体" w:hAnsi="宋体" w:cs="宋体"/>
          <w:b/>
          <w:bCs/>
          <w:color w:val="auto"/>
          <w:highlight w:val="none"/>
        </w:rPr>
        <w:t>后服务要求</w:t>
      </w:r>
    </w:p>
    <w:p>
      <w:pPr>
        <w:pStyle w:val="9"/>
        <w:widowControl/>
        <w:spacing w:before="75" w:beforeAutospacing="0" w:after="75" w:afterAutospacing="0"/>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.1、供应商对提供的货物在质保期内，因产品的质量导致的缺陷，必须提供保修、包换、包退服务。</w:t>
      </w:r>
    </w:p>
    <w:p>
      <w:pPr>
        <w:pStyle w:val="9"/>
        <w:widowControl/>
        <w:spacing w:before="75" w:beforeAutospacing="0" w:after="75" w:afterAutospacing="0"/>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.2成交供应商应提供厂家原装产品，对所</w:t>
      </w:r>
      <w:r>
        <w:rPr>
          <w:rFonts w:hint="eastAsia" w:ascii="宋体" w:hAnsi="宋体" w:cs="宋体"/>
          <w:color w:val="auto"/>
          <w:highlight w:val="none"/>
          <w:lang w:eastAsia="zh-CN"/>
        </w:rPr>
        <w:t>成交</w:t>
      </w:r>
      <w:r>
        <w:rPr>
          <w:rFonts w:hint="eastAsia" w:ascii="宋体" w:hAnsi="宋体" w:cs="宋体"/>
          <w:color w:val="auto"/>
          <w:highlight w:val="none"/>
        </w:rPr>
        <w:t>的产品提供至少</w:t>
      </w:r>
      <w:r>
        <w:rPr>
          <w:rFonts w:hint="eastAsia" w:ascii="宋体" w:hAnsi="宋体" w:cs="宋体"/>
          <w:color w:val="auto"/>
          <w:highlight w:val="none"/>
          <w:lang w:eastAsia="zh-CN"/>
        </w:rPr>
        <w:t>一</w:t>
      </w:r>
      <w:r>
        <w:rPr>
          <w:rFonts w:hint="eastAsia" w:ascii="宋体" w:hAnsi="宋体" w:cs="宋体"/>
          <w:color w:val="auto"/>
          <w:highlight w:val="none"/>
        </w:rPr>
        <w:t>年的免费保修期。（国家或厂家对设备或配件另有约定更长免费保修期限的从其约定），在免费保修期内如出现故障，成交供应商应免费提供咨询、维修服务，包括免费更换零部件。</w:t>
      </w:r>
    </w:p>
    <w:p>
      <w:pPr>
        <w:pStyle w:val="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3免费保修期内货物一旦出现故障，成交供应商响应时间不超过4小时，检修人员应在12小时内到设备安装地点及时排除故障，24小时内解决问题并恢复正常使用。如故障无法排除，成交供应商应负责使用替代设备，其费用由成交供应商承担。保修期过后对设备故障需要更换的配件将以成本价提供。</w:t>
      </w:r>
    </w:p>
    <w:p>
      <w:pPr>
        <w:pStyle w:val="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.4质量保证期结束后，成交供应商提供终身免费咨询；成交供应商仍应对设备进行终生维护和修理，货物一旦出现故障，提供维修所需的零配件，并派出检修人员在</w:t>
      </w:r>
      <w:r>
        <w:rPr>
          <w:rFonts w:ascii="宋体" w:hAnsi="宋体" w:cs="宋体"/>
          <w:color w:val="auto"/>
          <w:highlight w:val="none"/>
        </w:rPr>
        <w:t>24</w:t>
      </w:r>
      <w:r>
        <w:rPr>
          <w:rFonts w:hint="eastAsia" w:ascii="宋体" w:hAnsi="宋体" w:cs="宋体"/>
          <w:color w:val="auto"/>
          <w:highlight w:val="none"/>
        </w:rPr>
        <w:t>小时内到货物安装现场对设备进行维修，只收取更换的零配件成本费。保证供应设备质保期后所需的备品、备件，须给出详细清单（品名、货号、生产厂家、数量、价格等）。</w:t>
      </w:r>
    </w:p>
    <w:p>
      <w:pPr>
        <w:pStyle w:val="9"/>
        <w:widowControl/>
        <w:spacing w:before="75" w:beforeAutospacing="0" w:after="75" w:afterAutospacing="0"/>
        <w:rPr>
          <w:rFonts w:asci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.5履行所承诺的其他服务条款。</w:t>
      </w:r>
    </w:p>
    <w:p>
      <w:pPr>
        <w:pStyle w:val="9"/>
        <w:widowControl/>
        <w:spacing w:before="75" w:beforeAutospacing="0" w:after="75" w:afterAutospacing="0"/>
        <w:rPr>
          <w:rFonts w:ascii="宋体" w:cs="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lang w:val="en-US" w:eastAsia="zh-CN"/>
        </w:rPr>
        <w:t>1</w:t>
      </w:r>
      <w:r>
        <w:rPr>
          <w:rFonts w:hint="eastAsia" w:ascii="宋体" w:hAnsi="宋体" w:cs="宋体"/>
          <w:b/>
          <w:bCs/>
          <w:color w:val="auto"/>
          <w:highlight w:val="none"/>
        </w:rPr>
        <w:t>、其他要求</w:t>
      </w:r>
    </w:p>
    <w:p>
      <w:pPr>
        <w:pStyle w:val="9"/>
        <w:widowControl/>
        <w:spacing w:before="75" w:beforeAutospacing="0" w:after="75" w:afterAutospacing="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各供应商应根据竞争性谈判文件的技术要求条款，在响应文件中详细说明所提供货物的技术规格和参数。</w:t>
      </w:r>
    </w:p>
    <w:p>
      <w:pPr>
        <w:pStyle w:val="9"/>
        <w:widowControl/>
        <w:spacing w:before="75" w:beforeAutospacing="0" w:after="75" w:afterAutospacing="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上述招标规格及要求中所发生的一切费用均包含在投标报价中。</w:t>
      </w:r>
    </w:p>
    <w:p>
      <w:pPr>
        <w:pStyle w:val="9"/>
        <w:widowControl/>
        <w:spacing w:before="75" w:beforeAutospacing="0" w:after="75" w:afterAutospacing="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各供</w:t>
      </w:r>
      <w:r>
        <w:rPr>
          <w:rFonts w:ascii="宋体" w:hAnsi="宋体" w:cs="宋体"/>
          <w:color w:val="auto"/>
          <w:highlight w:val="none"/>
        </w:rPr>
        <w:t xml:space="preserve"> </w:t>
      </w:r>
      <w:r>
        <w:rPr>
          <w:rFonts w:hint="eastAsia" w:ascii="宋体" w:hAnsi="宋体" w:cs="宋体"/>
          <w:color w:val="auto"/>
          <w:highlight w:val="none"/>
        </w:rPr>
        <w:t>应商无论中标与否，所有围绕投标的费用均由投标单位自行承担。</w:t>
      </w:r>
    </w:p>
    <w:p>
      <w:pPr>
        <w:pStyle w:val="9"/>
        <w:widowControl/>
        <w:spacing w:before="75" w:beforeAutospacing="0" w:after="75" w:afterAutospacing="0"/>
        <w:rPr>
          <w:rFonts w:hint="eastAsia" w:ascii="宋体" w:eastAsia="宋体" w:cs="宋体"/>
          <w:color w:val="auto"/>
          <w:highlight w:val="none"/>
          <w:lang w:eastAsia="zh-CN"/>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投标时，供</w:t>
      </w:r>
      <w:r>
        <w:rPr>
          <w:rFonts w:ascii="宋体" w:hAnsi="宋体" w:cs="宋体"/>
          <w:color w:val="auto"/>
          <w:highlight w:val="none"/>
        </w:rPr>
        <w:t xml:space="preserve"> </w:t>
      </w:r>
      <w:r>
        <w:rPr>
          <w:rFonts w:hint="eastAsia" w:ascii="宋体" w:hAnsi="宋体" w:cs="宋体"/>
          <w:color w:val="auto"/>
          <w:highlight w:val="none"/>
        </w:rPr>
        <w:t>应商必须按货物一览表进行投标报价。以综合单价（含人工费、材料费、企业管理费、措施项目费、税金、规费、政策性文件规定及合同包含的所有风险、责任等所有费用）为结算依据。</w:t>
      </w:r>
      <w:r>
        <w:rPr>
          <w:rFonts w:hint="eastAsia" w:ascii="宋体" w:hAnsi="宋体" w:cs="宋体"/>
          <w:b/>
          <w:bCs/>
          <w:color w:val="auto"/>
          <w:highlight w:val="none"/>
          <w:lang w:eastAsia="zh-CN"/>
        </w:rPr>
        <w:t>本项目为包干项目。</w:t>
      </w:r>
    </w:p>
    <w:p>
      <w:pPr>
        <w:pStyle w:val="9"/>
        <w:widowControl/>
        <w:numPr>
          <w:ilvl w:val="0"/>
          <w:numId w:val="0"/>
        </w:numPr>
        <w:spacing w:before="75" w:beforeAutospacing="0" w:after="75" w:afterAutospacing="0"/>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12、现场勘察</w:t>
      </w:r>
    </w:p>
    <w:p>
      <w:pPr>
        <w:pStyle w:val="9"/>
        <w:widowControl/>
        <w:numPr>
          <w:ilvl w:val="0"/>
          <w:numId w:val="0"/>
        </w:numPr>
        <w:spacing w:before="75" w:beforeAutospacing="0" w:after="75" w:afterAutospacing="0"/>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 xml:space="preserve">  本项目不组织现场勘察，各供应商可自行前往现场自行勘察，勘察所产生的费用各供应商自行承担。</w:t>
      </w:r>
    </w:p>
    <w:p>
      <w:pPr>
        <w:pStyle w:val="9"/>
        <w:widowControl/>
        <w:spacing w:before="75" w:beforeAutospacing="0" w:after="75" w:afterAutospacing="0"/>
        <w:rPr>
          <w:rFonts w:ascii="宋体" w:cs="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lang w:val="en-US" w:eastAsia="zh-CN"/>
        </w:rPr>
        <w:t>3</w:t>
      </w:r>
      <w:r>
        <w:rPr>
          <w:rFonts w:hint="eastAsia" w:ascii="宋体" w:hAnsi="宋体" w:cs="宋体"/>
          <w:b/>
          <w:bCs/>
          <w:color w:val="auto"/>
          <w:highlight w:val="none"/>
        </w:rPr>
        <w:t>、专</w:t>
      </w:r>
      <w:r>
        <w:rPr>
          <w:rFonts w:ascii="宋体" w:hAnsi="宋体" w:cs="宋体"/>
          <w:b/>
          <w:bCs/>
          <w:color w:val="auto"/>
          <w:highlight w:val="none"/>
        </w:rPr>
        <w:t xml:space="preserve"> </w:t>
      </w:r>
      <w:r>
        <w:rPr>
          <w:rFonts w:hint="eastAsia" w:ascii="宋体" w:hAnsi="宋体" w:cs="宋体"/>
          <w:b/>
          <w:bCs/>
          <w:color w:val="auto"/>
          <w:highlight w:val="none"/>
        </w:rPr>
        <w:t>利说明</w:t>
      </w:r>
    </w:p>
    <w:p>
      <w:pPr>
        <w:pStyle w:val="9"/>
        <w:widowControl/>
        <w:spacing w:before="75" w:beforeAutospacing="0" w:after="75" w:afterAutospacing="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3</w:t>
      </w:r>
      <w:r>
        <w:rPr>
          <w:rFonts w:ascii="宋体" w:hAnsi="宋体" w:cs="宋体"/>
          <w:color w:val="auto"/>
          <w:highlight w:val="none"/>
        </w:rPr>
        <w:t>.1</w:t>
      </w:r>
      <w:r>
        <w:rPr>
          <w:rFonts w:hint="eastAsia" w:ascii="宋体" w:hAnsi="宋体" w:cs="宋体"/>
          <w:color w:val="auto"/>
          <w:highlight w:val="none"/>
        </w:rPr>
        <w:t>供</w:t>
      </w:r>
      <w:r>
        <w:rPr>
          <w:rFonts w:ascii="宋体" w:hAnsi="宋体" w:cs="宋体"/>
          <w:color w:val="auto"/>
          <w:highlight w:val="none"/>
        </w:rPr>
        <w:t xml:space="preserve"> </w:t>
      </w:r>
      <w:r>
        <w:rPr>
          <w:rFonts w:hint="eastAsia" w:ascii="宋体" w:hAnsi="宋体" w:cs="宋体"/>
          <w:color w:val="auto"/>
          <w:highlight w:val="none"/>
        </w:rPr>
        <w:t>应商应对投标货物或服务的知识产权。供</w:t>
      </w:r>
      <w:r>
        <w:rPr>
          <w:rFonts w:ascii="宋体" w:hAnsi="宋体" w:cs="宋体"/>
          <w:color w:val="auto"/>
          <w:highlight w:val="none"/>
        </w:rPr>
        <w:t xml:space="preserve"> </w:t>
      </w:r>
      <w:r>
        <w:rPr>
          <w:rFonts w:hint="eastAsia" w:ascii="宋体" w:hAnsi="宋体" w:cs="宋体"/>
          <w:color w:val="auto"/>
          <w:highlight w:val="none"/>
        </w:rPr>
        <w:t>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3</w:t>
      </w:r>
      <w:r>
        <w:rPr>
          <w:rFonts w:ascii="宋体" w:hAnsi="宋体" w:cs="宋体"/>
          <w:color w:val="auto"/>
          <w:highlight w:val="none"/>
        </w:rPr>
        <w:t>.2</w:t>
      </w:r>
      <w:r>
        <w:rPr>
          <w:rFonts w:hint="eastAsia" w:ascii="宋体" w:hAnsi="宋体" w:cs="宋体"/>
          <w:color w:val="auto"/>
          <w:highlight w:val="none"/>
        </w:rPr>
        <w:t>成交供</w:t>
      </w:r>
      <w:r>
        <w:rPr>
          <w:rFonts w:ascii="宋体" w:hAnsi="宋体" w:cs="宋体"/>
          <w:color w:val="auto"/>
          <w:highlight w:val="none"/>
        </w:rPr>
        <w:t xml:space="preserve"> </w:t>
      </w:r>
      <w:r>
        <w:rPr>
          <w:rFonts w:hint="eastAsia" w:ascii="宋体" w:hAnsi="宋体" w:cs="宋体"/>
          <w:color w:val="auto"/>
          <w:highlight w:val="none"/>
        </w:rPr>
        <w:t>应商应保证福建景鑫招标有限公司和采购人不受到第三方关于侵犯专</w:t>
      </w:r>
      <w:r>
        <w:rPr>
          <w:rFonts w:ascii="宋体" w:hAnsi="宋体" w:cs="宋体"/>
          <w:color w:val="auto"/>
          <w:highlight w:val="none"/>
        </w:rPr>
        <w:t xml:space="preserve"> </w:t>
      </w:r>
      <w:r>
        <w:rPr>
          <w:rFonts w:hint="eastAsia" w:ascii="宋体" w:hAnsi="宋体" w:cs="宋体"/>
          <w:color w:val="auto"/>
          <w:highlight w:val="none"/>
        </w:rPr>
        <w:t>利权的指控，任何第三方如果提出指控，成交供</w:t>
      </w:r>
      <w:r>
        <w:rPr>
          <w:rFonts w:ascii="宋体" w:hAnsi="宋体" w:cs="宋体"/>
          <w:color w:val="auto"/>
          <w:highlight w:val="none"/>
        </w:rPr>
        <w:t xml:space="preserve"> </w:t>
      </w:r>
      <w:r>
        <w:rPr>
          <w:rFonts w:hint="eastAsia" w:ascii="宋体" w:hAnsi="宋体" w:cs="宋体"/>
          <w:color w:val="auto"/>
          <w:highlight w:val="none"/>
        </w:rPr>
        <w:t>应商应与第三方交涉，承担可能发生的一切法律责任、费用和后果，并赔偿福建景鑫招标有限公司和采购人的损失。</w:t>
      </w:r>
    </w:p>
    <w:p>
      <w:pPr>
        <w:pStyle w:val="9"/>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四、其他事项</w:t>
      </w:r>
    </w:p>
    <w:p>
      <w:pPr>
        <w:pStyle w:val="9"/>
        <w:widowControl/>
        <w:spacing w:before="75" w:beforeAutospacing="0" w:after="75" w:afterAutospacing="0"/>
        <w:rPr>
          <w:color w:val="auto"/>
          <w:highlight w:val="none"/>
        </w:rPr>
      </w:pPr>
      <w:r>
        <w:rPr>
          <w:rFonts w:hint="eastAsia" w:ascii="宋体" w:hAnsi="宋体" w:cs="宋体"/>
          <w:color w:val="auto"/>
          <w:highlight w:val="none"/>
        </w:rPr>
        <w:t>1、供应商需提供中小企业声明函，明确属大、中、小、微四个企业类型。</w:t>
      </w:r>
      <w:r>
        <w:rPr>
          <w:rFonts w:hint="eastAsia" w:ascii="宋体" w:hAnsi="宋体" w:cs="宋体"/>
          <w:color w:val="auto"/>
          <w:highlight w:val="none"/>
        </w:rPr>
        <w:br w:type="textWrapping"/>
      </w:r>
    </w:p>
    <w:p>
      <w:pPr>
        <w:pStyle w:val="9"/>
        <w:widowControl/>
        <w:spacing w:before="75" w:beforeAutospacing="0" w:after="75" w:afterAutospacing="0"/>
        <w:jc w:val="both"/>
        <w:rPr>
          <w:rStyle w:val="13"/>
          <w:rFonts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hAnsi="宋体" w:cs="宋体"/>
          <w:color w:val="auto"/>
          <w:highlight w:val="none"/>
        </w:rPr>
      </w:pPr>
    </w:p>
    <w:p>
      <w:pPr>
        <w:pStyle w:val="9"/>
        <w:widowControl/>
        <w:spacing w:before="75" w:beforeAutospacing="0" w:after="75" w:afterAutospacing="0"/>
        <w:jc w:val="center"/>
        <w:rPr>
          <w:rStyle w:val="13"/>
          <w:rFonts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9"/>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p>
    <w:p>
      <w:pPr>
        <w:pStyle w:val="9"/>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3"/>
          <w:rFonts w:hint="eastAsia" w:ascii="宋体" w:hAnsi="宋体" w:cs="宋体"/>
          <w:color w:val="auto"/>
          <w:highlight w:val="none"/>
        </w:rPr>
        <w:t>财务状况报告</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9"/>
        <w:widowControl/>
        <w:spacing w:before="75" w:beforeAutospacing="0" w:after="75" w:afterAutospacing="0"/>
        <w:ind w:firstLine="420"/>
        <w:rPr>
          <w:color w:val="auto"/>
          <w:highlight w:val="none"/>
        </w:rPr>
      </w:pPr>
      <w:r>
        <w:rPr>
          <w:rStyle w:val="13"/>
          <w:rFonts w:hint="eastAsia" w:ascii="宋体" w:hAnsi="宋体" w:cs="宋体"/>
          <w:color w:val="auto"/>
          <w:sz w:val="21"/>
          <w:szCs w:val="21"/>
          <w:highlight w:val="none"/>
        </w:rPr>
        <w:t>※无法按照本格式注意事项第</w:t>
      </w:r>
      <w:r>
        <w:rPr>
          <w:rStyle w:val="13"/>
          <w:rFonts w:ascii="宋体" w:hAnsi="宋体" w:cs="宋体"/>
          <w:color w:val="auto"/>
          <w:sz w:val="21"/>
          <w:szCs w:val="21"/>
          <w:highlight w:val="none"/>
        </w:rPr>
        <w:t>2.1</w:t>
      </w: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2.2</w:t>
      </w:r>
      <w:r>
        <w:rPr>
          <w:rStyle w:val="13"/>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jc w:val="both"/>
        <w:rPr>
          <w:color w:val="auto"/>
          <w:highlight w:val="none"/>
        </w:rPr>
      </w:pPr>
      <w:r>
        <w:rPr>
          <w:rStyle w:val="13"/>
          <w:rFonts w:ascii="宋体" w:cs="宋体"/>
          <w:color w:val="auto"/>
          <w:sz w:val="21"/>
          <w:szCs w:val="21"/>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3"/>
          <w:rFonts w:hint="eastAsia" w:ascii="宋体" w:hAnsi="宋体" w:cs="宋体"/>
          <w:color w:val="auto"/>
          <w:highlight w:val="none"/>
        </w:rPr>
        <w:t>依法缴纳税收证明材料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、依法缴纳税收的供应商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、依法免税的供应商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9"/>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3"/>
          <w:rFonts w:hint="eastAsia" w:ascii="宋体" w:hAnsi="宋体" w:cs="宋体"/>
          <w:color w:val="auto"/>
          <w:highlight w:val="none"/>
        </w:rPr>
        <w:t>依法缴纳社会保障资金证明材料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、依法不需要缴纳社会保障资金的供应商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9"/>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9"/>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Autospacing="0" w:afterAutospacing="0" w:line="28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3"/>
          <w:rFonts w:ascii="宋体" w:cs="宋体"/>
          <w:color w:val="auto"/>
          <w:highlight w:val="none"/>
        </w:rPr>
        <w:t>  </w:t>
      </w:r>
      <w:r>
        <w:rPr>
          <w:rStyle w:val="13"/>
          <w:rFonts w:hint="eastAsia" w:ascii="宋体" w:hAnsi="宋体" w:cs="宋体"/>
          <w:color w:val="auto"/>
          <w:highlight w:val="none"/>
        </w:rPr>
        <w:t>联合体协议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（接受联合体的项目使用）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3"/>
          <w:rFonts w:hint="eastAsia" w:ascii="宋体" w:hAnsi="宋体" w:cs="宋体"/>
          <w:color w:val="auto"/>
          <w:highlight w:val="none"/>
        </w:rPr>
        <w:t>其它资格证明文件</w:t>
      </w:r>
    </w:p>
    <w:p>
      <w:pPr>
        <w:pStyle w:val="9"/>
        <w:widowControl/>
        <w:spacing w:before="75" w:beforeAutospacing="0" w:after="75" w:afterAutospacing="0" w:line="420" w:lineRule="atLeast"/>
        <w:jc w:val="center"/>
        <w:rPr>
          <w:color w:val="auto"/>
          <w:highlight w:val="none"/>
        </w:rPr>
      </w:pPr>
      <w:r>
        <w:rPr>
          <w:rStyle w:val="13"/>
          <w:rFonts w:hint="eastAsia" w:ascii="宋体" w:hAnsi="宋体" w:cs="宋体"/>
          <w:color w:val="auto"/>
          <w:highlight w:val="none"/>
        </w:rPr>
        <w:t>（如果有的话）</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3"/>
          <w:rFonts w:hint="eastAsia" w:ascii="宋体" w:hAnsi="宋体" w:cs="宋体"/>
          <w:color w:val="auto"/>
          <w:highlight w:val="none"/>
        </w:rPr>
        <w:t>谈判保证金凭证</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9"/>
        <w:widowControl/>
        <w:spacing w:before="75" w:beforeAutospacing="0" w:after="75" w:afterAutospacing="0"/>
        <w:rPr>
          <w:color w:val="auto"/>
          <w:highlight w:val="none"/>
        </w:rPr>
      </w:pPr>
      <w:r>
        <w:rPr>
          <w:rFonts w:ascii="宋体" w:cs="宋体"/>
          <w:color w:val="auto"/>
          <w:sz w:val="21"/>
          <w:szCs w:val="21"/>
          <w:highlight w:val="none"/>
        </w:rPr>
        <w:t> </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3"/>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3"/>
          <w:rFonts w:hint="eastAsia" w:ascii="宋体" w:hAnsi="宋体" w:cs="宋体"/>
          <w:color w:val="auto"/>
          <w:highlight w:val="none"/>
        </w:rPr>
        <w:t>供应商提交符合政府采购政策的证明材料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3"/>
          <w:rFonts w:hint="eastAsia" w:ascii="宋体" w:hAnsi="宋体" w:cs="宋体"/>
          <w:color w:val="auto"/>
          <w:highlight w:val="none"/>
        </w:rPr>
        <w:t>中小企业声明函（此表必须声明）</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残疾人福利性单位声明函（如果有的话）</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3"/>
          <w:rFonts w:hint="eastAsia" w:ascii="宋体" w:hAnsi="宋体" w:cs="宋体"/>
          <w:color w:val="auto"/>
          <w:highlight w:val="none"/>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9"/>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9"/>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3"/>
          <w:rFonts w:ascii="宋体" w:hAnsi="宋体" w:cs="宋体"/>
          <w:color w:val="auto"/>
          <w:kern w:val="0"/>
          <w:szCs w:val="22"/>
          <w:highlight w:val="none"/>
        </w:rPr>
      </w:pPr>
      <w:r>
        <w:rPr>
          <w:rStyle w:val="13"/>
          <w:rFonts w:hint="eastAsia" w:ascii="宋体" w:hAnsi="宋体" w:cs="宋体"/>
          <w:color w:val="auto"/>
          <w:kern w:val="0"/>
          <w:szCs w:val="22"/>
          <w:highlight w:val="none"/>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项目谈判中报价（项目编号：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3B6C88FE"/>
    <w:multiLevelType w:val="singleLevel"/>
    <w:tmpl w:val="3B6C88F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AE1B5E"/>
    <w:rsid w:val="00B15320"/>
    <w:rsid w:val="00C27EA4"/>
    <w:rsid w:val="00C43740"/>
    <w:rsid w:val="00C853F2"/>
    <w:rsid w:val="00C874C3"/>
    <w:rsid w:val="00C9752F"/>
    <w:rsid w:val="00C97544"/>
    <w:rsid w:val="00CA0EE9"/>
    <w:rsid w:val="00DB7D0E"/>
    <w:rsid w:val="00E005C1"/>
    <w:rsid w:val="00E53C14"/>
    <w:rsid w:val="00E937B9"/>
    <w:rsid w:val="00EA5156"/>
    <w:rsid w:val="00F31661"/>
    <w:rsid w:val="00F45F9F"/>
    <w:rsid w:val="00FB4173"/>
    <w:rsid w:val="05147600"/>
    <w:rsid w:val="055A128A"/>
    <w:rsid w:val="08FD7106"/>
    <w:rsid w:val="0A8C2D04"/>
    <w:rsid w:val="0AE8510D"/>
    <w:rsid w:val="0BB22DBC"/>
    <w:rsid w:val="0CE54254"/>
    <w:rsid w:val="0D40156A"/>
    <w:rsid w:val="0E56273A"/>
    <w:rsid w:val="1104506B"/>
    <w:rsid w:val="11213DEC"/>
    <w:rsid w:val="12355A70"/>
    <w:rsid w:val="128945AD"/>
    <w:rsid w:val="13DF0D41"/>
    <w:rsid w:val="144947B6"/>
    <w:rsid w:val="16C129C2"/>
    <w:rsid w:val="17494B43"/>
    <w:rsid w:val="18254BD8"/>
    <w:rsid w:val="1ABA6586"/>
    <w:rsid w:val="1B032AE9"/>
    <w:rsid w:val="1B6F187C"/>
    <w:rsid w:val="1ECF3867"/>
    <w:rsid w:val="1FA1163F"/>
    <w:rsid w:val="20F70394"/>
    <w:rsid w:val="219C0203"/>
    <w:rsid w:val="26DC6E8A"/>
    <w:rsid w:val="27C14E67"/>
    <w:rsid w:val="292A166D"/>
    <w:rsid w:val="29A11BE4"/>
    <w:rsid w:val="2B436468"/>
    <w:rsid w:val="2B9E4C95"/>
    <w:rsid w:val="31EA4E6A"/>
    <w:rsid w:val="32FC4311"/>
    <w:rsid w:val="33BA19CB"/>
    <w:rsid w:val="35841D04"/>
    <w:rsid w:val="378173D8"/>
    <w:rsid w:val="39CC2A1F"/>
    <w:rsid w:val="3AE439C3"/>
    <w:rsid w:val="3FE1039F"/>
    <w:rsid w:val="44ED1B85"/>
    <w:rsid w:val="45D11B62"/>
    <w:rsid w:val="46EF5703"/>
    <w:rsid w:val="474775AC"/>
    <w:rsid w:val="51EC5E55"/>
    <w:rsid w:val="523B3539"/>
    <w:rsid w:val="537A03D9"/>
    <w:rsid w:val="551705CC"/>
    <w:rsid w:val="55BC2E97"/>
    <w:rsid w:val="561803FE"/>
    <w:rsid w:val="57B7492C"/>
    <w:rsid w:val="58183AA3"/>
    <w:rsid w:val="58926B90"/>
    <w:rsid w:val="5AA4657B"/>
    <w:rsid w:val="5B1A080D"/>
    <w:rsid w:val="5BD11374"/>
    <w:rsid w:val="605E6224"/>
    <w:rsid w:val="62134D96"/>
    <w:rsid w:val="638C44FC"/>
    <w:rsid w:val="643A7236"/>
    <w:rsid w:val="644172F7"/>
    <w:rsid w:val="646600BC"/>
    <w:rsid w:val="662C7364"/>
    <w:rsid w:val="66550560"/>
    <w:rsid w:val="67540C59"/>
    <w:rsid w:val="6A5F47A3"/>
    <w:rsid w:val="6B785CF6"/>
    <w:rsid w:val="6CF1227E"/>
    <w:rsid w:val="72696324"/>
    <w:rsid w:val="72DD322C"/>
    <w:rsid w:val="7656443D"/>
    <w:rsid w:val="7825660D"/>
    <w:rsid w:val="78B874D4"/>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annotation reference"/>
    <w:qFormat/>
    <w:uiPriority w:val="99"/>
    <w:rPr>
      <w:rFonts w:cs="Times New Roman"/>
      <w:sz w:val="21"/>
      <w:szCs w:val="21"/>
    </w:rPr>
  </w:style>
  <w:style w:type="character" w:customStyle="1" w:styleId="15">
    <w:name w:val="标题 3 Char"/>
    <w:link w:val="3"/>
    <w:semiHidden/>
    <w:qFormat/>
    <w:uiPriority w:val="9"/>
    <w:rPr>
      <w:rFonts w:ascii="Calibri" w:hAnsi="Calibri"/>
      <w:b/>
      <w:bCs/>
      <w:sz w:val="32"/>
      <w:szCs w:val="32"/>
    </w:rPr>
  </w:style>
  <w:style w:type="character" w:customStyle="1" w:styleId="16">
    <w:name w:val="批注文字 Char"/>
    <w:link w:val="4"/>
    <w:semiHidden/>
    <w:qFormat/>
    <w:uiPriority w:val="99"/>
    <w:rPr>
      <w:rFonts w:ascii="Calibri" w:hAnsi="Calibri"/>
      <w:szCs w:val="24"/>
    </w:rPr>
  </w:style>
  <w:style w:type="character" w:customStyle="1" w:styleId="17">
    <w:name w:val="批注框文本 Char"/>
    <w:link w:val="6"/>
    <w:qFormat/>
    <w:locked/>
    <w:uiPriority w:val="99"/>
    <w:rPr>
      <w:rFonts w:ascii="Calibri" w:hAnsi="Calibri" w:eastAsia="宋体" w:cs="Times New Roman"/>
      <w:kern w:val="2"/>
      <w:sz w:val="18"/>
      <w:szCs w:val="18"/>
    </w:rPr>
  </w:style>
  <w:style w:type="character" w:customStyle="1" w:styleId="18">
    <w:name w:val="页脚 Char"/>
    <w:link w:val="7"/>
    <w:semiHidden/>
    <w:qFormat/>
    <w:uiPriority w:val="99"/>
    <w:rPr>
      <w:rFonts w:ascii="Calibri" w:hAnsi="Calibri"/>
      <w:sz w:val="18"/>
      <w:szCs w:val="18"/>
    </w:rPr>
  </w:style>
  <w:style w:type="character" w:customStyle="1" w:styleId="19">
    <w:name w:val="页眉 Char"/>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 w:type="character" w:customStyle="1" w:styleId="21">
    <w:name w:val="font01"/>
    <w:basedOn w:val="1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6313</Words>
  <Characters>35989</Characters>
  <Lines>299</Lines>
  <Paragraphs>84</Paragraphs>
  <TotalTime>2</TotalTime>
  <ScaleCrop>false</ScaleCrop>
  <LinksUpToDate>false</LinksUpToDate>
  <CharactersWithSpaces>42218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2019-10-08T07:14:09Z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