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仿宋_GB2312" w:hAnsi="仿宋_GB2312" w:cs="仿宋_GB2312"/>
          <w:bCs/>
          <w:szCs w:val="32"/>
          <w:lang w:val="en-US" w:eastAsia="zh-CN"/>
        </w:rPr>
      </w:pPr>
      <w:r>
        <w:rPr>
          <w:rFonts w:hint="eastAsia" w:ascii="仿宋_GB2312" w:hAnsi="仿宋_GB2312" w:cs="仿宋_GB2312"/>
          <w:bCs/>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ge">
                  <wp:posOffset>2067560</wp:posOffset>
                </wp:positionV>
                <wp:extent cx="5588000" cy="1102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88000" cy="1102995"/>
                        </a:xfrm>
                        <a:prstGeom prst="rect">
                          <a:avLst/>
                        </a:prstGeom>
                        <a:noFill/>
                        <a:ln>
                          <a:noFill/>
                        </a:ln>
                      </wps:spPr>
                      <wps:txbx>
                        <w:txbxContent>
                          <w:p>
                            <w:pPr>
                              <w:snapToGrid w:val="0"/>
                              <w:jc w:val="distribute"/>
                              <w:rPr>
                                <w:rFonts w:hint="eastAsia"/>
                                <w:b/>
                                <w:spacing w:val="12"/>
                                <w:w w:val="66"/>
                                <w:kern w:val="15"/>
                                <w:sz w:val="108"/>
                                <w:szCs w:val="108"/>
                              </w:rPr>
                            </w:pPr>
                            <w:r>
                              <w:rPr>
                                <w:rFonts w:hint="eastAsia" w:ascii="方正小标宋简体" w:hAnsi="Batang" w:eastAsia="方正小标宋简体" w:cs="Arial"/>
                                <w:b/>
                                <w:bCs/>
                                <w:color w:val="FF0000"/>
                                <w:spacing w:val="12"/>
                                <w:w w:val="66"/>
                                <w:kern w:val="15"/>
                                <w:sz w:val="108"/>
                                <w:szCs w:val="108"/>
                              </w:rPr>
                              <w:t xml:space="preserve">福建省科学技术厅文件         </w:t>
                            </w:r>
                          </w:p>
                        </w:txbxContent>
                      </wps:txbx>
                      <wps:bodyPr lIns="0" tIns="0" rIns="0" bIns="0" upright="1"/>
                    </wps:wsp>
                  </a:graphicData>
                </a:graphic>
              </wp:anchor>
            </w:drawing>
          </mc:Choice>
          <mc:Fallback>
            <w:pict>
              <v:shape id="_x0000_s1026" o:spid="_x0000_s1026" o:spt="202" type="#_x0000_t202" style="position:absolute;left:0pt;margin-left:8pt;margin-top:162.8pt;height:86.85pt;width:440pt;mso-position-vertical-relative:page;z-index:251660288;mso-width-relative:page;mso-height-relative:page;" filled="f" stroked="f" coordsize="21600,21600" o:gfxdata="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JO3mA2QAAAAoBAAAPAAAAAAAA&#10;AAEAIAAAACIAAABkcnMvZG93bnJldi54bWxQSwECFAAUAAAACACHTuJAe8oa558BAAAlAwAADgAA&#10;AAAAAAABACAAAAAoAQAAZHJzL2Uyb0RvYy54bWxQSwUGAAAAAAYABgBZAQAAOQUAAAAA&#10;">
                <v:fill on="f" focussize="0,0"/>
                <v:stroke on="f"/>
                <v:imagedata o:title=""/>
                <o:lock v:ext="edit" aspectratio="f"/>
                <v:textbox inset="0mm,0mm,0mm,0mm">
                  <w:txbxContent>
                    <w:p>
                      <w:pPr>
                        <w:snapToGrid w:val="0"/>
                        <w:jc w:val="distribute"/>
                        <w:rPr>
                          <w:rFonts w:hint="eastAsia"/>
                          <w:b/>
                          <w:spacing w:val="12"/>
                          <w:w w:val="66"/>
                          <w:kern w:val="15"/>
                          <w:sz w:val="108"/>
                          <w:szCs w:val="108"/>
                        </w:rPr>
                      </w:pPr>
                      <w:r>
                        <w:rPr>
                          <w:rFonts w:hint="eastAsia" w:ascii="方正小标宋简体" w:hAnsi="Batang" w:eastAsia="方正小标宋简体" w:cs="Arial"/>
                          <w:b/>
                          <w:bCs/>
                          <w:color w:val="FF0000"/>
                          <w:spacing w:val="12"/>
                          <w:w w:val="66"/>
                          <w:kern w:val="15"/>
                          <w:sz w:val="108"/>
                          <w:szCs w:val="108"/>
                        </w:rPr>
                        <w:t xml:space="preserve">福建省科学技术厅文件         </w:t>
                      </w:r>
                    </w:p>
                  </w:txbxContent>
                </v:textbox>
              </v:shape>
            </w:pict>
          </mc:Fallback>
        </mc:AlternateContent>
      </w:r>
      <w:r>
        <w:rPr>
          <w:rFonts w:hint="eastAsia" w:ascii="仿宋_GB2312" w:hAnsi="仿宋_GB2312" w:cs="仿宋_GB2312"/>
          <w:bCs/>
          <w:szCs w:val="32"/>
          <w:lang w:val="en-US" w:eastAsia="zh-CN"/>
        </w:rPr>
        <w:t>附件 2</w:t>
      </w:r>
    </w:p>
    <w:p>
      <w:pPr>
        <w:snapToGrid w:val="0"/>
        <w:spacing w:line="600" w:lineRule="exact"/>
        <w:ind w:right="160"/>
        <w:jc w:val="right"/>
        <w:rPr>
          <w:rFonts w:hint="eastAsia" w:ascii="仿宋" w:hAnsi="仿宋" w:eastAsia="仿宋"/>
          <w:szCs w:val="32"/>
        </w:rPr>
      </w:pPr>
    </w:p>
    <w:p>
      <w:pPr>
        <w:snapToGrid w:val="0"/>
        <w:spacing w:line="600" w:lineRule="exact"/>
        <w:ind w:right="160"/>
        <w:jc w:val="right"/>
        <w:rPr>
          <w:rFonts w:hint="eastAsia" w:ascii="仿宋" w:hAnsi="仿宋" w:eastAsia="仿宋"/>
          <w:szCs w:val="32"/>
        </w:rPr>
      </w:pPr>
    </w:p>
    <w:p>
      <w:pPr>
        <w:snapToGrid w:val="0"/>
        <w:spacing w:line="600" w:lineRule="exact"/>
        <w:ind w:right="160"/>
        <w:jc w:val="right"/>
        <w:rPr>
          <w:rFonts w:hint="eastAsia" w:ascii="仿宋" w:hAnsi="仿宋" w:eastAsia="仿宋"/>
          <w:szCs w:val="32"/>
        </w:rPr>
      </w:pPr>
    </w:p>
    <w:p>
      <w:pPr>
        <w:snapToGrid w:val="0"/>
        <w:spacing w:line="600" w:lineRule="exact"/>
        <w:ind w:right="160"/>
        <w:jc w:val="right"/>
        <w:rPr>
          <w:rFonts w:hint="eastAsia" w:ascii="仿宋" w:hAnsi="仿宋" w:eastAsia="仿宋"/>
          <w:szCs w:val="32"/>
        </w:rPr>
      </w:pPr>
    </w:p>
    <w:p>
      <w:pPr>
        <w:snapToGrid w:val="0"/>
        <w:spacing w:line="600" w:lineRule="exact"/>
        <w:ind w:right="160"/>
        <w:jc w:val="right"/>
        <w:rPr>
          <w:rFonts w:hint="eastAsia" w:ascii="仿宋" w:hAnsi="仿宋" w:eastAsia="仿宋"/>
          <w:szCs w:val="32"/>
        </w:rPr>
      </w:pPr>
    </w:p>
    <w:p>
      <w:pPr>
        <w:snapToGrid w:val="0"/>
        <w:spacing w:line="600" w:lineRule="exact"/>
        <w:ind w:right="160"/>
        <w:jc w:val="right"/>
        <w:rPr>
          <w:rFonts w:hint="eastAsia" w:ascii="仿宋" w:hAnsi="仿宋" w:eastAsia="仿宋"/>
          <w:szCs w:val="32"/>
        </w:rPr>
      </w:pPr>
      <w:r>
        <w:rPr>
          <w:rFonts w:hint="eastAsia" w:ascii="仿宋" w:hAnsi="仿宋" w:eastAsia="仿宋"/>
          <w:szCs w:val="32"/>
        </w:rPr>
        <mc:AlternateContent>
          <mc:Choice Requires="wps">
            <w:drawing>
              <wp:anchor distT="0" distB="0" distL="114300" distR="114300" simplePos="0" relativeHeight="251659264" behindDoc="0" locked="0" layoutInCell="1" allowOverlap="1">
                <wp:simplePos x="0" y="0"/>
                <wp:positionH relativeFrom="column">
                  <wp:posOffset>1524000</wp:posOffset>
                </wp:positionH>
                <wp:positionV relativeFrom="paragraph">
                  <wp:posOffset>314325</wp:posOffset>
                </wp:positionV>
                <wp:extent cx="2235200" cy="3822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35200" cy="382270"/>
                        </a:xfrm>
                        <a:prstGeom prst="rect">
                          <a:avLst/>
                        </a:prstGeom>
                        <a:noFill/>
                        <a:ln>
                          <a:noFill/>
                        </a:ln>
                      </wps:spPr>
                      <wps:txbx>
                        <w:txbxContent>
                          <w:p>
                            <w:pPr>
                              <w:jc w:val="center"/>
                              <w:rPr>
                                <w:rFonts w:hint="eastAsia" w:ascii="仿宋_GB2312" w:hAnsi="宋体"/>
                                <w:bCs/>
                              </w:rPr>
                            </w:pPr>
                            <w:r>
                              <w:rPr>
                                <w:rFonts w:hint="eastAsia" w:ascii="仿宋_GB2312"/>
                              </w:rPr>
                              <w:fldChar w:fldCharType="begin"/>
                            </w:r>
                            <w:r>
                              <w:rPr>
                                <w:rFonts w:hint="eastAsia" w:ascii="仿宋_GB2312"/>
                              </w:rPr>
                              <w:instrText xml:space="preserve"> MERGEFIELD  发文编号 </w:instrText>
                            </w:r>
                            <w:r>
                              <w:rPr>
                                <w:rFonts w:ascii="仿宋_GB2312"/>
                              </w:rPr>
                              <w:fldChar w:fldCharType="separate"/>
                            </w:r>
                            <w:r>
                              <w:rPr>
                                <w:rFonts w:hint="eastAsia" w:ascii="仿宋_GB2312"/>
                              </w:rPr>
                              <w:t>闽科财〔2016〕8号</w:t>
                            </w:r>
                            <w:r>
                              <w:rPr>
                                <w:rFonts w:hint="eastAsia" w:ascii="仿宋_GB2312"/>
                              </w:rPr>
                              <w:fldChar w:fldCharType="end"/>
                            </w:r>
                          </w:p>
                          <w:p/>
                        </w:txbxContent>
                      </wps:txbx>
                      <wps:bodyPr lIns="0" tIns="45720" rIns="0" bIns="45720" upright="1"/>
                    </wps:wsp>
                  </a:graphicData>
                </a:graphic>
              </wp:anchor>
            </w:drawing>
          </mc:Choice>
          <mc:Fallback>
            <w:pict>
              <v:shape id="_x0000_s1026" o:spid="_x0000_s1026" o:spt="202" type="#_x0000_t202" style="position:absolute;left:0pt;margin-left:120pt;margin-top:24.75pt;height:30.1pt;width:176pt;z-index:251659264;mso-width-relative:page;mso-height-relative:page;" filled="f" stroked="f" coordsize="21600,21600" o:gfxdata="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nJuxnaAAAACgEAAA8A&#10;AAAAAAAAAQAgAAAAIgAAAGRycy9kb3ducmV2LnhtbFBLAQIUABQAAAAIAIdO4kBWeKEhowEAACwD&#10;AAAOAAAAAAAAAAEAIAAAACkBAABkcnMvZTJvRG9jLnhtbFBLBQYAAAAABgAGAFkBAAA+BQAAAAA=&#10;">
                <v:fill on="f" focussize="0,0"/>
                <v:stroke on="f"/>
                <v:imagedata o:title=""/>
                <o:lock v:ext="edit" aspectratio="f"/>
                <v:textbox inset="0mm,1.27mm,0mm,1.27mm">
                  <w:txbxContent>
                    <w:p>
                      <w:pPr>
                        <w:jc w:val="center"/>
                        <w:rPr>
                          <w:rFonts w:hint="eastAsia" w:ascii="仿宋_GB2312" w:hAnsi="宋体"/>
                          <w:bCs/>
                        </w:rPr>
                      </w:pPr>
                      <w:r>
                        <w:rPr>
                          <w:rFonts w:hint="eastAsia" w:ascii="仿宋_GB2312"/>
                        </w:rPr>
                        <w:fldChar w:fldCharType="begin"/>
                      </w:r>
                      <w:r>
                        <w:rPr>
                          <w:rFonts w:hint="eastAsia" w:ascii="仿宋_GB2312"/>
                        </w:rPr>
                        <w:instrText xml:space="preserve"> MERGEFIELD  发文编号 </w:instrText>
                      </w:r>
                      <w:r>
                        <w:rPr>
                          <w:rFonts w:ascii="仿宋_GB2312"/>
                        </w:rPr>
                        <w:fldChar w:fldCharType="separate"/>
                      </w:r>
                      <w:r>
                        <w:rPr>
                          <w:rFonts w:hint="eastAsia" w:ascii="仿宋_GB2312"/>
                        </w:rPr>
                        <w:t>闽科财〔2016〕8号</w:t>
                      </w:r>
                      <w:r>
                        <w:rPr>
                          <w:rFonts w:hint="eastAsia" w:ascii="仿宋_GB2312"/>
                        </w:rPr>
                        <w:fldChar w:fldCharType="end"/>
                      </w:r>
                    </w:p>
                    <w:p/>
                  </w:txbxContent>
                </v:textbox>
              </v:shape>
            </w:pict>
          </mc:Fallback>
        </mc:AlternateContent>
      </w:r>
    </w:p>
    <w:p>
      <w:pPr>
        <w:snapToGrid w:val="0"/>
        <w:spacing w:line="600" w:lineRule="exact"/>
        <w:ind w:right="160"/>
        <w:jc w:val="right"/>
        <w:rPr>
          <w:rFonts w:hint="eastAsia" w:ascii="仿宋" w:hAnsi="仿宋" w:eastAsia="仿宋"/>
          <w:szCs w:val="32"/>
        </w:rPr>
      </w:pPr>
    </w:p>
    <w:p>
      <w:pPr>
        <w:snapToGrid w:val="0"/>
        <w:spacing w:line="600" w:lineRule="exact"/>
        <w:ind w:right="160"/>
        <w:jc w:val="right"/>
        <w:rPr>
          <w:rFonts w:hint="eastAsia" w:ascii="仿宋" w:hAnsi="仿宋" w:eastAsia="仿宋"/>
          <w:szCs w:val="32"/>
        </w:rPr>
      </w:pPr>
      <w:r>
        <w:rPr>
          <w:rFonts w:hint="eastAsia" w:ascii="仿宋" w:hAnsi="仿宋" w:eastAsia="仿宋"/>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287655</wp:posOffset>
                </wp:positionV>
                <wp:extent cx="5600700" cy="0"/>
                <wp:effectExtent l="0" t="15875" r="0" b="2222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65pt;height:0pt;width:441pt;z-index:251658240;mso-width-relative:page;mso-height-relative:page;" filled="f" stroked="t" coordsize="21600,21600" o:gfxdata="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FK6FtUAAAAGAQAADwAAAAAA&#10;AAABACAAAAAiAAAAZHJzL2Rvd25yZXYueG1sUEsBAhQAFAAAAAgAh07iQOHnzyPdAQAAlwMAAA4A&#10;AAAAAAAAAQAgAAAAJAEAAGRycy9lMm9Eb2MueG1sUEsFBgAAAAAGAAYAWQEAAHMFAAAAAA==&#10;">
                <v:fill on="f" focussize="0,0"/>
                <v:stroke weight="2.5pt" color="#FF0000" joinstyle="round"/>
                <v:imagedata o:title=""/>
                <o:lock v:ext="edit" aspectratio="f"/>
              </v:line>
            </w:pict>
          </mc:Fallback>
        </mc:AlternateContent>
      </w:r>
    </w:p>
    <w:p>
      <w:pPr>
        <w:snapToGrid w:val="0"/>
        <w:spacing w:line="600" w:lineRule="exact"/>
        <w:ind w:right="160"/>
        <w:jc w:val="right"/>
        <w:rPr>
          <w:rFonts w:hint="eastAsia" w:ascii="仿宋" w:hAnsi="仿宋" w:eastAsia="仿宋"/>
          <w:szCs w:val="32"/>
        </w:rPr>
      </w:pP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fldChar w:fldCharType="begin"/>
      </w:r>
      <w:r>
        <w:rPr>
          <w:rFonts w:hint="eastAsia" w:ascii="方正小标宋简体" w:hAnsi="宋体" w:eastAsia="方正小标宋简体"/>
          <w:sz w:val="44"/>
          <w:szCs w:val="44"/>
        </w:rPr>
        <w:instrText xml:space="preserve"> MERGEFIELD  文件标题 </w:instrText>
      </w:r>
      <w:r>
        <w:rPr>
          <w:rFonts w:hint="eastAsia" w:ascii="方正小标宋简体" w:hAnsi="宋体" w:eastAsia="方正小标宋简体"/>
          <w:sz w:val="44"/>
          <w:szCs w:val="44"/>
        </w:rPr>
        <w:fldChar w:fldCharType="separate"/>
      </w:r>
      <w:r>
        <w:rPr>
          <w:rFonts w:hint="eastAsia" w:ascii="方正小标宋简体" w:hAnsi="宋体" w:eastAsia="方正小标宋简体"/>
          <w:sz w:val="44"/>
          <w:szCs w:val="44"/>
        </w:rPr>
        <w:t>福建省科学技术厅印发《福建省重大科研基础设施和大型科研仪器向社会开放服务绩效</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评价暂行办法》的通知</w:t>
      </w:r>
      <w:r>
        <w:rPr>
          <w:rFonts w:hint="eastAsia" w:ascii="方正小标宋简体" w:hAnsi="宋体" w:eastAsia="方正小标宋简体"/>
          <w:sz w:val="44"/>
          <w:szCs w:val="44"/>
        </w:rPr>
        <w:fldChar w:fldCharType="end"/>
      </w:r>
    </w:p>
    <w:p>
      <w:pPr>
        <w:snapToGrid w:val="0"/>
        <w:spacing w:line="600" w:lineRule="exact"/>
        <w:ind w:right="1280"/>
        <w:jc w:val="center"/>
        <w:rPr>
          <w:rFonts w:hint="eastAsia" w:ascii="仿宋" w:hAnsi="仿宋" w:eastAsia="仿宋"/>
          <w:szCs w:val="32"/>
        </w:rPr>
      </w:pPr>
    </w:p>
    <w:p>
      <w:pPr>
        <w:spacing w:line="600" w:lineRule="exact"/>
        <w:rPr>
          <w:rFonts w:hint="eastAsia" w:ascii="仿宋_GB2312" w:hAnsi="仿宋"/>
          <w:szCs w:val="32"/>
        </w:rPr>
      </w:pPr>
      <w:bookmarkStart w:id="0" w:name="BodyEnd"/>
      <w:bookmarkEnd w:id="0"/>
      <w:r>
        <w:rPr>
          <w:rFonts w:hint="eastAsia" w:ascii="仿宋_GB2312" w:hAnsi="仿宋"/>
          <w:bCs/>
          <w:szCs w:val="32"/>
        </w:rPr>
        <w:fldChar w:fldCharType="begin"/>
      </w:r>
      <w:r>
        <w:rPr>
          <w:rFonts w:hint="eastAsia" w:ascii="仿宋_GB2312" w:hAnsi="仿宋"/>
          <w:bCs/>
          <w:szCs w:val="32"/>
        </w:rPr>
        <w:instrText xml:space="preserve"> MERGEFIELD 主送 </w:instrText>
      </w:r>
      <w:r>
        <w:rPr>
          <w:rFonts w:hint="eastAsia" w:ascii="仿宋_GB2312" w:hAnsi="仿宋"/>
          <w:bCs/>
          <w:szCs w:val="32"/>
        </w:rPr>
        <w:fldChar w:fldCharType="separate"/>
      </w:r>
      <w:r>
        <w:rPr>
          <w:rFonts w:hint="eastAsia" w:ascii="仿宋_GB2312" w:hAnsi="仿宋"/>
          <w:bCs/>
          <w:szCs w:val="32"/>
        </w:rPr>
        <w:t>各设区市科技局，平潭综合实验区社会事业局，各有关单位</w:t>
      </w:r>
      <w:r>
        <w:rPr>
          <w:rFonts w:hint="eastAsia" w:ascii="仿宋_GB2312" w:hAnsi="仿宋"/>
          <w:bCs/>
          <w:szCs w:val="32"/>
        </w:rPr>
        <w:fldChar w:fldCharType="end"/>
      </w:r>
      <w:r>
        <w:rPr>
          <w:rFonts w:hint="eastAsia" w:ascii="仿宋_GB2312" w:hAnsi="仿宋"/>
          <w:bCs/>
          <w:szCs w:val="32"/>
        </w:rPr>
        <w:t>：</w:t>
      </w:r>
    </w:p>
    <w:p>
      <w:pPr>
        <w:widowControl/>
        <w:spacing w:line="560" w:lineRule="exact"/>
        <w:ind w:firstLine="627" w:firstLineChars="196"/>
        <w:rPr>
          <w:rFonts w:hint="eastAsia" w:ascii="仿宋_GB2312" w:hAnsi="仿宋" w:cs="Arial"/>
          <w:kern w:val="0"/>
          <w:szCs w:val="32"/>
        </w:rPr>
      </w:pPr>
      <w:r>
        <w:rPr>
          <w:rFonts w:hint="eastAsia" w:ascii="仿宋_GB2312" w:hAnsi="仿宋" w:cs="Arial"/>
          <w:kern w:val="0"/>
          <w:szCs w:val="32"/>
        </w:rPr>
        <w:t>为加快推动我省重大科研基础设施和大型科研仪器向社会开放服务，建立健全绩效评价激励机制，提高科研设施和仪器配置使用效益，根据《福建省人民省政府关于推进重大科研基础设施和大型科研仪器向社会开放服务的实施意见》（闽政〔2016〕4号）和《福建省大型科学仪器设备协作共用管理办法（试行）》（闽科财〔2007〕12号）等有关规定，我厅制定了《福建省重大科研基础设施和大型科研仪器向社会开放服务绩效评价暂行办法》。现印发你们，请遵照执行。</w:t>
      </w:r>
    </w:p>
    <w:p>
      <w:pPr>
        <w:widowControl/>
        <w:spacing w:line="560" w:lineRule="exact"/>
        <w:rPr>
          <w:rFonts w:hint="eastAsia" w:ascii="仿宋_GB2312" w:hAnsi="仿宋" w:cs="Arial"/>
          <w:kern w:val="0"/>
          <w:szCs w:val="32"/>
        </w:rPr>
      </w:pPr>
    </w:p>
    <w:p>
      <w:pPr>
        <w:widowControl/>
        <w:spacing w:line="560" w:lineRule="exact"/>
        <w:rPr>
          <w:rFonts w:hint="eastAsia" w:ascii="仿宋_GB2312" w:hAnsi="仿宋" w:cs="Arial"/>
          <w:kern w:val="0"/>
          <w:szCs w:val="32"/>
        </w:rPr>
      </w:pPr>
    </w:p>
    <w:p>
      <w:pPr>
        <w:widowControl/>
        <w:spacing w:line="560" w:lineRule="exact"/>
        <w:rPr>
          <w:rFonts w:hint="eastAsia" w:ascii="仿宋_GB2312" w:hAnsi="仿宋" w:cs="Arial"/>
          <w:kern w:val="0"/>
          <w:szCs w:val="32"/>
        </w:rPr>
      </w:pPr>
    </w:p>
    <w:p>
      <w:pPr>
        <w:widowControl/>
        <w:spacing w:line="560" w:lineRule="exact"/>
        <w:ind w:firstLine="4304" w:firstLineChars="1345"/>
        <w:rPr>
          <w:rFonts w:hint="eastAsia" w:ascii="仿宋_GB2312" w:hAnsi="仿宋" w:cs="Arial"/>
          <w:kern w:val="0"/>
          <w:szCs w:val="32"/>
        </w:rPr>
      </w:pPr>
      <w:r>
        <w:rPr>
          <w:rFonts w:hint="eastAsia" w:ascii="仿宋_GB2312" w:hAnsi="仿宋" w:cs="Arial"/>
          <w:kern w:val="0"/>
          <w:szCs w:val="32"/>
        </w:rPr>
        <w:t xml:space="preserve">  福建省科学技术厅</w:t>
      </w:r>
    </w:p>
    <w:p>
      <w:pPr>
        <w:widowControl/>
        <w:spacing w:line="560" w:lineRule="exact"/>
        <w:rPr>
          <w:rFonts w:hint="eastAsia" w:ascii="仿宋" w:hAnsi="仿宋" w:eastAsia="仿宋" w:cs="Arial"/>
          <w:kern w:val="0"/>
          <w:szCs w:val="32"/>
        </w:rPr>
      </w:pPr>
      <w:r>
        <w:rPr>
          <w:rFonts w:hint="eastAsia" w:ascii="仿宋_GB2312" w:hAnsi="仿宋" w:cs="Arial"/>
          <w:kern w:val="0"/>
          <w:szCs w:val="32"/>
        </w:rPr>
        <w:t xml:space="preserve">                             2016年9月30日</w:t>
      </w: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ind w:firstLine="4464" w:firstLineChars="1395"/>
        <w:rPr>
          <w:rFonts w:hint="eastAsia" w:ascii="仿宋" w:hAnsi="仿宋" w:eastAsia="仿宋" w:cs="Arial"/>
          <w:kern w:val="0"/>
          <w:szCs w:val="32"/>
        </w:rPr>
      </w:pPr>
    </w:p>
    <w:p>
      <w:pPr>
        <w:widowControl/>
        <w:spacing w:line="560" w:lineRule="exact"/>
        <w:jc w:val="center"/>
        <w:rPr>
          <w:rFonts w:hint="eastAsia" w:ascii="方正小标宋简体" w:hAnsi="黑体" w:eastAsia="方正小标宋简体" w:cs="宋体"/>
          <w:kern w:val="0"/>
          <w:sz w:val="44"/>
          <w:szCs w:val="44"/>
          <w:lang w:val="zh-CN"/>
        </w:rPr>
      </w:pPr>
      <w:r>
        <w:rPr>
          <w:rFonts w:hint="eastAsia" w:ascii="方正小标宋简体" w:hAnsi="黑体" w:eastAsia="方正小标宋简体" w:cs="宋体"/>
          <w:kern w:val="0"/>
          <w:sz w:val="44"/>
          <w:szCs w:val="44"/>
          <w:lang w:val="zh-CN"/>
        </w:rPr>
        <w:t>福建省重大科研基础设施和大型科研仪器</w:t>
      </w:r>
    </w:p>
    <w:p>
      <w:pPr>
        <w:widowControl/>
        <w:spacing w:line="560" w:lineRule="exact"/>
        <w:jc w:val="center"/>
        <w:rPr>
          <w:rFonts w:hint="eastAsia" w:ascii="方正小标宋简体" w:hAnsi="黑体" w:eastAsia="方正小标宋简体" w:cs="宋体"/>
          <w:kern w:val="0"/>
          <w:sz w:val="44"/>
          <w:szCs w:val="44"/>
          <w:lang w:val="zh-CN"/>
        </w:rPr>
      </w:pPr>
      <w:r>
        <w:rPr>
          <w:rFonts w:hint="eastAsia" w:ascii="方正小标宋简体" w:hAnsi="黑体" w:eastAsia="方正小标宋简体" w:cs="宋体"/>
          <w:kern w:val="0"/>
          <w:sz w:val="44"/>
          <w:szCs w:val="44"/>
          <w:lang w:val="zh-CN"/>
        </w:rPr>
        <w:t>向社会开放服务绩效评价暂行办法</w:t>
      </w:r>
    </w:p>
    <w:p>
      <w:pPr>
        <w:widowControl/>
        <w:snapToGrid w:val="0"/>
        <w:spacing w:before="100" w:beforeAutospacing="1" w:after="100" w:afterAutospacing="1"/>
        <w:jc w:val="center"/>
        <w:rPr>
          <w:rFonts w:hint="eastAsia" w:ascii="仿宋" w:hAnsi="仿宋" w:eastAsia="仿宋" w:cs="宋体"/>
          <w:kern w:val="0"/>
          <w:szCs w:val="32"/>
          <w:lang w:val="zh-CN"/>
        </w:rPr>
      </w:pPr>
    </w:p>
    <w:p>
      <w:pPr>
        <w:widowControl/>
        <w:snapToGrid w:val="0"/>
        <w:spacing w:before="100" w:beforeAutospacing="1" w:after="100" w:afterAutospacing="1"/>
        <w:jc w:val="center"/>
        <w:rPr>
          <w:rFonts w:hint="eastAsia" w:ascii="黑体" w:hAnsi="黑体" w:eastAsia="黑体" w:cs="宋体"/>
          <w:kern w:val="0"/>
          <w:szCs w:val="32"/>
          <w:lang w:val="zh-CN"/>
        </w:rPr>
      </w:pPr>
      <w:r>
        <w:rPr>
          <w:rFonts w:hint="eastAsia" w:ascii="黑体" w:hAnsi="黑体" w:eastAsia="黑体" w:cs="宋体"/>
          <w:kern w:val="0"/>
          <w:szCs w:val="32"/>
          <w:lang w:val="zh-CN"/>
        </w:rPr>
        <w:t>第一章  总则</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第一条</w:t>
      </w:r>
      <w:r>
        <w:rPr>
          <w:rFonts w:hint="eastAsia" w:ascii="仿宋" w:hAnsi="仿宋" w:eastAsia="仿宋" w:cs="Arial"/>
          <w:kern w:val="0"/>
          <w:sz w:val="32"/>
          <w:szCs w:val="32"/>
        </w:rPr>
        <w:t xml:space="preserve">  为加快推动我省重大科研基础设施和大型科研仪器（以下简称科研设施仪器）向社会开放服务，建立健全绩效评价激励机制，提高科研设施和仪器配置使用效益，根据《福建省人民省政府关于推进重大科研基础设施和大型科研仪器向社会开放服务的实施意见》（闽政〔2016〕4号）和《福建省大型科学仪器设备协作共用管理办法（试行）》（闽科财〔2007〕12号）等有关规定，特制定本暂行办法。</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第二条</w:t>
      </w:r>
      <w:r>
        <w:rPr>
          <w:rFonts w:hint="eastAsia" w:ascii="仿宋" w:hAnsi="仿宋" w:eastAsia="仿宋" w:cs="Arial"/>
          <w:kern w:val="0"/>
          <w:sz w:val="32"/>
          <w:szCs w:val="32"/>
        </w:rPr>
        <w:t xml:space="preserve">  科研设施仪器向社会开放服务是指科研设施仪器为教学单位、科研机构、企业等用户开展科学研究、技术开发等创新创业活动提供的分析、测试、检测、试验等专业技术服务。</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第三条</w:t>
      </w:r>
      <w:r>
        <w:rPr>
          <w:rFonts w:hint="eastAsia" w:ascii="仿宋" w:hAnsi="仿宋" w:eastAsia="仿宋" w:cs="Arial"/>
          <w:kern w:val="0"/>
          <w:sz w:val="32"/>
          <w:szCs w:val="32"/>
        </w:rPr>
        <w:t xml:space="preserve">  科研设施仪器向社会开放服务绩效评价（以下简称绩效评价）应当坚持公开透明、客观公正、严格规范、注重实效的原则。</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第四条</w:t>
      </w:r>
      <w:r>
        <w:rPr>
          <w:rFonts w:hint="eastAsia" w:ascii="仿宋" w:hAnsi="仿宋" w:eastAsia="仿宋" w:cs="Arial"/>
          <w:kern w:val="0"/>
          <w:sz w:val="32"/>
          <w:szCs w:val="32"/>
        </w:rPr>
        <w:t xml:space="preserve">  绩效评价工作采用专家评审和用户评议相结合的方式，每年进行一次评价。</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第五条</w:t>
      </w:r>
      <w:r>
        <w:rPr>
          <w:rFonts w:hint="eastAsia" w:ascii="仿宋" w:hAnsi="仿宋" w:eastAsia="仿宋" w:cs="Arial"/>
          <w:kern w:val="0"/>
          <w:sz w:val="32"/>
          <w:szCs w:val="32"/>
        </w:rPr>
        <w:t xml:space="preserve">  绩效评价对象为加入福建省大型科研仪器网络管理平台（以下简称省大仪网络管理平台）的科研设施仪器及其所属独立法人管理单位（以下简称仪器管理单位）。</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科研设施仪器是指大型科学装置、科学仪器中心、科学仪器服务单元和单台（套）价值在30万元及以上的科学仪器设备。科学仪器设备主要包括分析仪器、物理性能测试仪器、计量仪器、电子测量仪器、海洋仪器、地球探测仪器、大气探测仪器、特种</w:t>
      </w:r>
      <w:r>
        <w:rPr>
          <w:rFonts w:hint="eastAsia" w:ascii="仿宋" w:hAnsi="仿宋" w:eastAsia="仿宋" w:cs="Arial"/>
          <w:kern w:val="0"/>
          <w:sz w:val="32"/>
          <w:szCs w:val="32"/>
        </w:rPr>
        <w:fldChar w:fldCharType="begin"/>
      </w:r>
      <w:r>
        <w:rPr>
          <w:rFonts w:hint="eastAsia" w:ascii="仿宋" w:hAnsi="仿宋" w:eastAsia="仿宋" w:cs="Arial"/>
          <w:kern w:val="0"/>
          <w:sz w:val="32"/>
          <w:szCs w:val="32"/>
        </w:rPr>
        <w:instrText xml:space="preserve"> HYPERLINK "http://www.17025.org/lab.html" \t "_blank" </w:instrText>
      </w:r>
      <w:r>
        <w:rPr>
          <w:rFonts w:hint="eastAsia" w:ascii="仿宋" w:hAnsi="仿宋" w:eastAsia="仿宋" w:cs="Arial"/>
          <w:kern w:val="0"/>
          <w:sz w:val="32"/>
          <w:szCs w:val="32"/>
        </w:rPr>
        <w:fldChar w:fldCharType="separate"/>
      </w:r>
      <w:r>
        <w:rPr>
          <w:rFonts w:hint="eastAsia" w:ascii="仿宋" w:hAnsi="仿宋" w:eastAsia="仿宋" w:cs="Arial"/>
          <w:kern w:val="0"/>
          <w:sz w:val="32"/>
          <w:szCs w:val="32"/>
        </w:rPr>
        <w:t>检测</w:t>
      </w:r>
      <w:r>
        <w:rPr>
          <w:rFonts w:hint="eastAsia" w:ascii="仿宋" w:hAnsi="仿宋" w:eastAsia="仿宋" w:cs="Arial"/>
          <w:kern w:val="0"/>
          <w:sz w:val="32"/>
          <w:szCs w:val="32"/>
        </w:rPr>
        <w:fldChar w:fldCharType="end"/>
      </w:r>
      <w:r>
        <w:rPr>
          <w:rFonts w:hint="eastAsia" w:ascii="仿宋" w:hAnsi="仿宋" w:eastAsia="仿宋" w:cs="Arial"/>
          <w:kern w:val="0"/>
          <w:sz w:val="32"/>
          <w:szCs w:val="32"/>
        </w:rPr>
        <w:t>仪器、激光器、工艺试验仪器、计算机及其配套设备、天文仪器、医学科研仪器、核仪器、其他仪器等15类。</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第六条</w:t>
      </w:r>
      <w:r>
        <w:rPr>
          <w:rFonts w:hint="eastAsia" w:ascii="仿宋" w:hAnsi="仿宋" w:eastAsia="仿宋" w:cs="Arial"/>
          <w:kern w:val="0"/>
          <w:sz w:val="32"/>
          <w:szCs w:val="32"/>
        </w:rPr>
        <w:t xml:space="preserve">  省科技厅是绩效评价的主管部门，负责制定绩效评价方案，组织实施绩效评价和监督检查等工作。</w:t>
      </w:r>
    </w:p>
    <w:p>
      <w:pPr>
        <w:widowControl/>
        <w:snapToGrid w:val="0"/>
        <w:spacing w:before="100" w:beforeAutospacing="1" w:after="100" w:afterAutospacing="1"/>
        <w:jc w:val="center"/>
        <w:rPr>
          <w:rFonts w:hint="eastAsia" w:ascii="仿宋" w:hAnsi="仿宋" w:eastAsia="仿宋" w:cs="宋体"/>
          <w:kern w:val="0"/>
          <w:szCs w:val="32"/>
          <w:lang w:val="zh-CN"/>
        </w:rPr>
      </w:pPr>
    </w:p>
    <w:p>
      <w:pPr>
        <w:widowControl/>
        <w:snapToGrid w:val="0"/>
        <w:spacing w:before="100" w:beforeAutospacing="1" w:after="100" w:afterAutospacing="1"/>
        <w:jc w:val="center"/>
        <w:rPr>
          <w:rFonts w:hint="eastAsia" w:ascii="黑体" w:hAnsi="黑体" w:eastAsia="黑体" w:cs="宋体"/>
          <w:kern w:val="0"/>
          <w:szCs w:val="32"/>
          <w:lang w:val="zh-CN"/>
        </w:rPr>
      </w:pPr>
      <w:r>
        <w:rPr>
          <w:rFonts w:hint="eastAsia" w:ascii="黑体" w:hAnsi="黑体" w:eastAsia="黑体" w:cs="宋体"/>
          <w:kern w:val="0"/>
          <w:szCs w:val="32"/>
          <w:lang w:val="zh-CN"/>
        </w:rPr>
        <w:t>第二章  评价内容及指标</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黑体" w:hAnsi="黑体" w:eastAsia="黑体" w:cs="Arial"/>
          <w:kern w:val="0"/>
          <w:sz w:val="32"/>
          <w:szCs w:val="32"/>
        </w:rPr>
        <w:t>第七条</w:t>
      </w:r>
      <w:r>
        <w:rPr>
          <w:rFonts w:hint="eastAsia" w:ascii="仿宋" w:hAnsi="仿宋" w:eastAsia="仿宋" w:cs="Arial"/>
          <w:kern w:val="0"/>
          <w:sz w:val="32"/>
          <w:szCs w:val="32"/>
        </w:rPr>
        <w:t xml:space="preserve">  绩效评价采取定性分析与定量测算相结合的办法,对仪器管理单位和科研设施仪器开放服务情况进行评分。</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第八条</w:t>
      </w:r>
      <w:r>
        <w:rPr>
          <w:rFonts w:hint="eastAsia" w:ascii="仿宋" w:hAnsi="仿宋" w:eastAsia="仿宋" w:cs="Arial"/>
          <w:kern w:val="0"/>
          <w:sz w:val="32"/>
          <w:szCs w:val="32"/>
        </w:rPr>
        <w:t xml:space="preserve">  仪器管理单位绩效评价重点评价所属科研设施仪器开放服务、购置查重评议、制度体系建设、用户评价、科学技术普及和服务科技创新贡献等情况。具体绩效评价指标主要包括：</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仿宋" w:hAnsi="仿宋" w:eastAsia="仿宋" w:cs="Arial"/>
          <w:kern w:val="0"/>
          <w:sz w:val="32"/>
          <w:szCs w:val="32"/>
        </w:rPr>
        <w:t>（一）科研设施仪器开放率（定量测算）。仪器管理单位向省大仪网络管理平台报送科研设施仪器数占本单位按规定应该向社会全部开放总数的比率。</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仿宋" w:hAnsi="仿宋" w:eastAsia="仿宋" w:cs="Arial"/>
          <w:kern w:val="0"/>
          <w:sz w:val="32"/>
          <w:szCs w:val="32"/>
        </w:rPr>
        <w:t>（二）新购科研仪器设备查重评议率（定量测算）。仪器管理单位年度新购50万元以上科研仪器设备中进行了查重评议工作的比率。</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（三）开放制度建设和运行情况（定性分析）。仪器管理单位应建立必要的组织机构、开放制度、实验人员考核奖惩制度，以及在线服务平台运行管理情况等。</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（四）对外服务样品率（定量测算）。对外服务样品（项目）数占单位本年度测试样品（项目）总数的比率。</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（五）服务质量管理制度或体系的建设运行情况（定量测算）。建立相应的质量保证制度、方法或管理体系以及通过认证认可情况。</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（六）用户评价（定性分析）。客户满意程度、用户投诉情况，是否出现重大质量事故等情况进行综合评价。</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（七）科学技术普及活动开展情况（定量测算）。管理单位是否设立科学技术普及教育基地，承担科学技术普及行动计划项目，开展各类科学技术普及活动等情况。</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仿宋" w:hAnsi="仿宋" w:eastAsia="仿宋" w:cs="Arial"/>
          <w:kern w:val="0"/>
          <w:sz w:val="32"/>
          <w:szCs w:val="32"/>
        </w:rPr>
        <w:t>（八）服务科技创新项目比例（定量测算）。服务科学研究（含计划项目）、技术开发等创新创业项目占全部对外服务项目总数的比例。</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第九条</w:t>
      </w:r>
      <w:r>
        <w:rPr>
          <w:rFonts w:hint="eastAsia" w:ascii="仿宋" w:hAnsi="仿宋" w:eastAsia="仿宋" w:cs="Arial"/>
          <w:kern w:val="0"/>
          <w:sz w:val="32"/>
          <w:szCs w:val="32"/>
        </w:rPr>
        <w:t xml:space="preserve">  科研设施仪器绩效评价重点评价科研设施仪器开放服务及质量、实验管理团队、服务科技创新贡献等情况。具体绩效评价指标主要包括：</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（一）机时利用率（定量测算）。年度测试开机时间数与参加评价的同类科研设施仪器平均开机时间数的比率，维护开机时间不得计算在内。</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（二）科研设施仪器实验管理团队应满足开放服务的要求（定性分析）。</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（三）对外服务样品率（定量测算）。对外服务样品数与参加评价的同类科研设施仪器平均对外服务样品数的比率。</w:t>
      </w:r>
    </w:p>
    <w:p>
      <w:pPr>
        <w:pStyle w:val="7"/>
        <w:widowControl/>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（四）检测和服务质量控制措施（定性分析）。在检测和服务质量控制方面采取的措施或建立的制度。</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仿宋" w:hAnsi="仿宋" w:eastAsia="仿宋" w:cs="Arial"/>
          <w:kern w:val="0"/>
          <w:sz w:val="32"/>
          <w:szCs w:val="32"/>
        </w:rPr>
        <w:t>（五）服务科技创新项目比例（定量测算）。服务科学研究（含计划项目）、技术开发等创新创业项目占全部对外服务项目总数的比例。</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仿宋" w:hAnsi="仿宋" w:eastAsia="仿宋" w:cs="Arial"/>
          <w:kern w:val="0"/>
          <w:sz w:val="32"/>
          <w:szCs w:val="32"/>
        </w:rPr>
        <w:t>（六）科研成果情况（定量测算）。用户利用科研设施仪器开展科学研究和技术开发，取得专利、完成新产品开发、获得各级科技奖励、发表论文等成果情况。</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第十条</w:t>
      </w:r>
      <w:r>
        <w:rPr>
          <w:rFonts w:hint="eastAsia" w:ascii="仿宋" w:hAnsi="仿宋" w:eastAsia="仿宋" w:cs="Arial"/>
          <w:kern w:val="0"/>
          <w:sz w:val="32"/>
          <w:szCs w:val="32"/>
        </w:rPr>
        <w:t xml:space="preserve">  按照法规或者强制性标准要求必须开展的强制检测和法定检测，或商业性检测服务，均不纳入绩效评价范围。</w:t>
      </w:r>
    </w:p>
    <w:p>
      <w:pPr>
        <w:pStyle w:val="7"/>
        <w:widowControl/>
        <w:spacing w:line="560" w:lineRule="exact"/>
        <w:ind w:firstLine="716" w:firstLineChars="224"/>
        <w:jc w:val="left"/>
        <w:rPr>
          <w:rFonts w:hint="eastAsia" w:ascii="仿宋" w:hAnsi="仿宋" w:eastAsia="仿宋" w:cs="Arial"/>
          <w:kern w:val="0"/>
          <w:sz w:val="32"/>
          <w:szCs w:val="32"/>
        </w:rPr>
      </w:pPr>
    </w:p>
    <w:p>
      <w:pPr>
        <w:widowControl/>
        <w:snapToGrid w:val="0"/>
        <w:spacing w:before="100" w:beforeAutospacing="1" w:after="100" w:afterAutospacing="1"/>
        <w:jc w:val="center"/>
        <w:rPr>
          <w:rFonts w:hint="eastAsia" w:ascii="仿宋" w:hAnsi="仿宋" w:eastAsia="仿宋" w:cs="宋体"/>
          <w:kern w:val="0"/>
          <w:szCs w:val="32"/>
          <w:lang w:val="zh-CN"/>
        </w:rPr>
      </w:pPr>
    </w:p>
    <w:p>
      <w:pPr>
        <w:widowControl/>
        <w:snapToGrid w:val="0"/>
        <w:spacing w:before="100" w:beforeAutospacing="1" w:after="100" w:afterAutospacing="1"/>
        <w:jc w:val="center"/>
        <w:rPr>
          <w:rFonts w:hint="eastAsia" w:ascii="黑体" w:hAnsi="黑体" w:eastAsia="黑体" w:cs="宋体"/>
          <w:kern w:val="0"/>
          <w:szCs w:val="32"/>
          <w:lang w:val="zh-CN"/>
        </w:rPr>
      </w:pPr>
      <w:r>
        <w:rPr>
          <w:rFonts w:hint="eastAsia" w:ascii="黑体" w:hAnsi="黑体" w:eastAsia="黑体" w:cs="宋体"/>
          <w:kern w:val="0"/>
          <w:szCs w:val="32"/>
          <w:lang w:val="zh-CN"/>
        </w:rPr>
        <w:t>第三章  组织实施</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第十一条</w:t>
      </w:r>
      <w:r>
        <w:rPr>
          <w:rFonts w:hint="eastAsia" w:ascii="仿宋" w:hAnsi="仿宋" w:eastAsia="仿宋" w:cs="Arial"/>
          <w:kern w:val="0"/>
          <w:sz w:val="32"/>
          <w:szCs w:val="32"/>
        </w:rPr>
        <w:t xml:space="preserve">  省科技厅每年在省大仪网络管理平台上发布开展绩效评价工作通知，明确评价指标、权重和评分标准。</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第十二条</w:t>
      </w:r>
      <w:r>
        <w:rPr>
          <w:rFonts w:hint="eastAsia" w:ascii="仿宋" w:hAnsi="仿宋" w:eastAsia="仿宋" w:cs="Arial"/>
          <w:kern w:val="0"/>
          <w:sz w:val="32"/>
          <w:szCs w:val="32"/>
        </w:rPr>
        <w:t xml:space="preserve">  绩效评价工作由省科技厅委托第三方专业机构（以下简称评价机构）组织实施。</w:t>
      </w:r>
    </w:p>
    <w:p>
      <w:pPr>
        <w:pStyle w:val="7"/>
        <w:widowControl/>
        <w:spacing w:line="560" w:lineRule="exact"/>
        <w:ind w:firstLine="716" w:firstLineChars="224"/>
        <w:jc w:val="left"/>
        <w:rPr>
          <w:rFonts w:hint="eastAsia" w:ascii="仿宋" w:hAnsi="仿宋" w:eastAsia="仿宋" w:cs="Arial"/>
          <w:kern w:val="0"/>
          <w:sz w:val="32"/>
          <w:szCs w:val="32"/>
        </w:rPr>
      </w:pPr>
      <w:r>
        <w:rPr>
          <w:rFonts w:hint="eastAsia" w:ascii="黑体" w:hAnsi="黑体" w:eastAsia="黑体" w:cs="Arial"/>
          <w:kern w:val="0"/>
          <w:sz w:val="32"/>
          <w:szCs w:val="32"/>
        </w:rPr>
        <w:t>第十三条</w:t>
      </w:r>
      <w:r>
        <w:rPr>
          <w:rFonts w:hint="eastAsia" w:ascii="仿宋" w:hAnsi="仿宋" w:eastAsia="仿宋" w:cs="Arial"/>
          <w:kern w:val="0"/>
          <w:sz w:val="32"/>
          <w:szCs w:val="32"/>
        </w:rPr>
        <w:t xml:space="preserve">  仪器管理单位根据省科技厅发布绩效评价通知，向评价机构报送相关数据和材料。仪器管理单位主要负责人对本单位提供的绩效评价资料的真实性和完整性负责。</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第十四条</w:t>
      </w:r>
      <w:r>
        <w:rPr>
          <w:rFonts w:hint="eastAsia" w:ascii="仿宋" w:hAnsi="仿宋" w:eastAsia="仿宋" w:cs="Arial"/>
          <w:kern w:val="0"/>
          <w:sz w:val="32"/>
          <w:szCs w:val="32"/>
        </w:rPr>
        <w:t xml:space="preserve">  评价机构按绩效评价内容和指标要求对仪器管理单位报送的数据和材料进行审核，并可采用电话咨询、现场抽查、核实材料等方式对报送的数据和材料进行抽查核实。通过审核后进行分类，每类至少组织3位科研设施仪器专家按评分标准进行打分。</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第十五条</w:t>
      </w:r>
      <w:r>
        <w:rPr>
          <w:rFonts w:hint="eastAsia" w:ascii="仿宋" w:hAnsi="仿宋" w:eastAsia="仿宋" w:cs="Arial"/>
          <w:kern w:val="0"/>
          <w:sz w:val="32"/>
          <w:szCs w:val="32"/>
        </w:rPr>
        <w:t xml:space="preserve">  绩效评价实行百分制。按优秀、良好、较好三个等级进行评价。85分以上为优秀、75分以上为良好、60分以上为较好。</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第十六条</w:t>
      </w:r>
      <w:r>
        <w:rPr>
          <w:rFonts w:hint="eastAsia" w:ascii="仿宋" w:hAnsi="仿宋" w:eastAsia="仿宋" w:cs="Arial"/>
          <w:kern w:val="0"/>
          <w:sz w:val="32"/>
          <w:szCs w:val="32"/>
        </w:rPr>
        <w:t xml:space="preserve">  绩效评价结果在省大仪网络管理平台公示，公示期不少于7个工作日，各相关单位或人员对结果有异议的，应在公示期内向省科技厅或评价机构提出。</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第十七条</w:t>
      </w:r>
      <w:r>
        <w:rPr>
          <w:rFonts w:hint="eastAsia" w:ascii="仿宋" w:hAnsi="仿宋" w:eastAsia="仿宋" w:cs="Arial"/>
          <w:kern w:val="0"/>
          <w:sz w:val="32"/>
          <w:szCs w:val="32"/>
        </w:rPr>
        <w:t xml:space="preserve">  绩效评价结果经公示无异议或异议不成立的，评价机构编制年度评价报告，报送省科技厅，由省科技厅确定最终评价结果。</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第十八条</w:t>
      </w:r>
      <w:r>
        <w:rPr>
          <w:rFonts w:hint="eastAsia" w:ascii="仿宋" w:hAnsi="仿宋" w:eastAsia="仿宋" w:cs="Arial"/>
          <w:kern w:val="0"/>
          <w:sz w:val="32"/>
          <w:szCs w:val="32"/>
        </w:rPr>
        <w:t xml:space="preserve">  仪器管理单位及科研设施仪器管理人员应保存科研设施仪器运行及开放服务相关的资料，包括开机记录、服务协议、发票等相关资料，以备抽查核实。</w:t>
      </w:r>
    </w:p>
    <w:p>
      <w:pPr>
        <w:widowControl/>
        <w:snapToGrid w:val="0"/>
        <w:spacing w:before="100" w:beforeAutospacing="1" w:after="100" w:afterAutospacing="1"/>
        <w:jc w:val="center"/>
        <w:rPr>
          <w:rFonts w:hint="eastAsia" w:ascii="仿宋" w:hAnsi="仿宋" w:eastAsia="仿宋" w:cs="宋体"/>
          <w:kern w:val="0"/>
          <w:szCs w:val="32"/>
        </w:rPr>
      </w:pPr>
      <w:bookmarkStart w:id="1" w:name="_GoBack"/>
      <w:bookmarkEnd w:id="1"/>
    </w:p>
    <w:p>
      <w:pPr>
        <w:widowControl/>
        <w:snapToGrid w:val="0"/>
        <w:spacing w:before="100" w:beforeAutospacing="1" w:after="100" w:afterAutospacing="1"/>
        <w:jc w:val="center"/>
        <w:rPr>
          <w:rFonts w:hint="eastAsia" w:ascii="黑体" w:hAnsi="黑体" w:eastAsia="黑体" w:cs="宋体"/>
          <w:kern w:val="0"/>
          <w:szCs w:val="32"/>
          <w:lang w:val="zh-CN"/>
        </w:rPr>
      </w:pPr>
      <w:r>
        <w:rPr>
          <w:rFonts w:hint="eastAsia" w:ascii="黑体" w:hAnsi="黑体" w:eastAsia="黑体" w:cs="宋体"/>
          <w:kern w:val="0"/>
          <w:szCs w:val="32"/>
          <w:lang w:val="zh-CN"/>
        </w:rPr>
        <w:t>第四章  评价应用</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第十九条</w:t>
      </w:r>
      <w:r>
        <w:rPr>
          <w:rFonts w:hint="eastAsia" w:ascii="仿宋" w:hAnsi="仿宋" w:eastAsia="仿宋" w:cs="Arial"/>
          <w:kern w:val="0"/>
          <w:sz w:val="32"/>
          <w:szCs w:val="32"/>
        </w:rPr>
        <w:t xml:space="preserve">  根据绩效评价结果，对仪器管理单位和科研设施仪器给予运行费奖励补助，对开放服务工作成绩特别突出的单位、个人可另行给予表彰、奖励。</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第二十条</w:t>
      </w:r>
      <w:r>
        <w:rPr>
          <w:rFonts w:hint="eastAsia" w:ascii="仿宋" w:hAnsi="仿宋" w:eastAsia="仿宋" w:cs="Arial"/>
          <w:kern w:val="0"/>
          <w:sz w:val="32"/>
          <w:szCs w:val="32"/>
        </w:rPr>
        <w:t xml:space="preserve">  评价机构根据省科技厅最终确定的评价结果和年度专项经费，编制年度科研设施仪器奖励补助方案，报省科技厅批准后，拨付到仪器管理单位。</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第二十一条</w:t>
      </w:r>
      <w:r>
        <w:rPr>
          <w:rFonts w:hint="eastAsia" w:ascii="仿宋" w:hAnsi="仿宋" w:eastAsia="仿宋" w:cs="Arial"/>
          <w:kern w:val="0"/>
          <w:sz w:val="32"/>
          <w:szCs w:val="32"/>
        </w:rPr>
        <w:t xml:space="preserve">  绩效评价运行奖励补助经费主要用于科研设施仪器运行补助、人员培训、工作经费和相关人员奖励，其中人员奖励经费不纳入单位绩效工资总额。</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第二十二条</w:t>
      </w:r>
      <w:r>
        <w:rPr>
          <w:rFonts w:hint="eastAsia" w:ascii="仿宋" w:hAnsi="仿宋" w:eastAsia="仿宋" w:cs="Arial"/>
          <w:kern w:val="0"/>
          <w:sz w:val="32"/>
          <w:szCs w:val="32"/>
        </w:rPr>
        <w:t xml:space="preserve">  绩效评价结果为较好及以上的仪器管理单位或科研设施仪器，在接受社会服务机构提供的维修服务、测试技术咨询，可以申请省级科技创新券补助。</w:t>
      </w:r>
    </w:p>
    <w:p>
      <w:pPr>
        <w:pStyle w:val="7"/>
        <w:widowControl/>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第二十三条</w:t>
      </w:r>
      <w:r>
        <w:rPr>
          <w:rFonts w:hint="eastAsia" w:ascii="仿宋" w:hAnsi="仿宋" w:eastAsia="仿宋" w:cs="Arial"/>
          <w:kern w:val="0"/>
          <w:sz w:val="32"/>
          <w:szCs w:val="32"/>
        </w:rPr>
        <w:t xml:space="preserve"> 省科技厅或评价机构接到投诉经调查核实，或在评价中发现仪器管理单位、科研设施仪器管理人员存在下述行为的，将予以通报和处罚。</w:t>
      </w:r>
    </w:p>
    <w:p>
      <w:pPr>
        <w:pStyle w:val="7"/>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（一）仪器管理单位不按规定要求报送以财政性资金建设、购置的科研设施仪器信息，在省大仪网络管理平台通知后仍拒绝报送且未说明原因的，予以通报批评。</w:t>
      </w:r>
    </w:p>
    <w:p>
      <w:pPr>
        <w:pStyle w:val="7"/>
        <w:spacing w:line="560" w:lineRule="exact"/>
        <w:ind w:firstLine="627" w:firstLineChars="196"/>
        <w:jc w:val="left"/>
        <w:rPr>
          <w:rFonts w:hint="eastAsia" w:ascii="仿宋" w:hAnsi="仿宋" w:eastAsia="仿宋" w:cs="Arial"/>
          <w:kern w:val="0"/>
          <w:sz w:val="32"/>
          <w:szCs w:val="32"/>
        </w:rPr>
      </w:pPr>
      <w:r>
        <w:rPr>
          <w:rFonts w:hint="eastAsia" w:ascii="仿宋" w:hAnsi="仿宋" w:eastAsia="仿宋" w:cs="Arial"/>
          <w:kern w:val="0"/>
          <w:sz w:val="32"/>
          <w:szCs w:val="32"/>
        </w:rPr>
        <w:t>（二）仪器管理单位、科研设施仪器管理人员虚报评价数据和材料，或采取其它手段骗取奖励补助经费的，取消当年绩效评价结果，已经拨付运行奖励补助经费的如数追回。</w:t>
      </w:r>
    </w:p>
    <w:p>
      <w:pPr>
        <w:pStyle w:val="7"/>
        <w:spacing w:line="560" w:lineRule="exact"/>
        <w:ind w:firstLine="627" w:firstLineChars="196"/>
        <w:jc w:val="left"/>
        <w:rPr>
          <w:rFonts w:hint="eastAsia" w:ascii="仿宋" w:hAnsi="仿宋" w:eastAsia="仿宋" w:cs="宋体"/>
          <w:color w:val="000000"/>
          <w:kern w:val="0"/>
          <w:sz w:val="32"/>
          <w:szCs w:val="32"/>
        </w:rPr>
      </w:pPr>
      <w:r>
        <w:rPr>
          <w:rFonts w:hint="eastAsia" w:ascii="仿宋" w:hAnsi="仿宋" w:eastAsia="仿宋" w:cs="Arial"/>
          <w:kern w:val="0"/>
          <w:sz w:val="32"/>
          <w:szCs w:val="32"/>
        </w:rPr>
        <w:t>（三）仪器管理单位、科研设施仪器管理人员失职导致测试结果错误或其它重大事故，产生严重社会影响或造成用户的重大经济损失的，取消当年绩效评价结果，已经拨付运行奖励补助经费的如数追回。</w:t>
      </w:r>
    </w:p>
    <w:p>
      <w:pPr>
        <w:snapToGrid w:val="0"/>
        <w:spacing w:before="100" w:beforeAutospacing="1" w:after="100" w:afterAutospacing="1"/>
        <w:ind w:left="1"/>
        <w:jc w:val="center"/>
        <w:rPr>
          <w:rFonts w:hint="eastAsia" w:ascii="黑体" w:hAnsi="黑体" w:eastAsia="黑体" w:cs="宋体"/>
          <w:color w:val="000000"/>
          <w:kern w:val="0"/>
          <w:szCs w:val="32"/>
        </w:rPr>
      </w:pPr>
      <w:r>
        <w:rPr>
          <w:rFonts w:hint="eastAsia" w:ascii="黑体" w:hAnsi="黑体" w:eastAsia="黑体" w:cs="宋体"/>
          <w:kern w:val="0"/>
          <w:szCs w:val="32"/>
          <w:lang w:val="zh-CN"/>
        </w:rPr>
        <w:t>第五章  附  则</w:t>
      </w:r>
    </w:p>
    <w:p>
      <w:pPr>
        <w:pStyle w:val="7"/>
        <w:spacing w:line="560" w:lineRule="exact"/>
        <w:ind w:firstLine="630" w:firstLineChars="0"/>
        <w:jc w:val="left"/>
        <w:rPr>
          <w:rFonts w:hint="eastAsia" w:ascii="仿宋" w:hAnsi="仿宋" w:eastAsia="仿宋" w:cs="Arial"/>
          <w:kern w:val="0"/>
          <w:sz w:val="32"/>
          <w:szCs w:val="32"/>
        </w:rPr>
      </w:pPr>
      <w:r>
        <w:rPr>
          <w:rFonts w:hint="eastAsia" w:ascii="黑体" w:hAnsi="黑体" w:eastAsia="黑体" w:cs="Arial"/>
          <w:kern w:val="0"/>
          <w:sz w:val="32"/>
          <w:szCs w:val="32"/>
        </w:rPr>
        <w:t>第二十四条</w:t>
      </w:r>
      <w:r>
        <w:rPr>
          <w:rFonts w:hint="eastAsia" w:ascii="仿宋" w:hAnsi="仿宋" w:eastAsia="仿宋" w:cs="Arial"/>
          <w:kern w:val="0"/>
          <w:sz w:val="32"/>
          <w:szCs w:val="32"/>
        </w:rPr>
        <w:t xml:space="preserve">  本暂行办法由省科技厅负责解释。</w:t>
      </w:r>
    </w:p>
    <w:p>
      <w:pPr>
        <w:pStyle w:val="7"/>
        <w:spacing w:line="560" w:lineRule="exact"/>
        <w:ind w:firstLine="630" w:firstLineChars="0"/>
        <w:jc w:val="left"/>
        <w:rPr>
          <w:rFonts w:hint="eastAsia" w:ascii="仿宋" w:hAnsi="仿宋" w:eastAsia="仿宋" w:cs="宋体"/>
          <w:color w:val="000000"/>
          <w:kern w:val="0"/>
          <w:sz w:val="32"/>
          <w:szCs w:val="32"/>
        </w:rPr>
      </w:pPr>
      <w:r>
        <w:rPr>
          <w:rFonts w:hint="eastAsia" w:ascii="黑体" w:hAnsi="黑体" w:eastAsia="黑体" w:cs="Arial"/>
          <w:kern w:val="0"/>
          <w:sz w:val="32"/>
          <w:szCs w:val="32"/>
        </w:rPr>
        <w:t>第二十五条</w:t>
      </w:r>
      <w:r>
        <w:rPr>
          <w:rFonts w:hint="eastAsia" w:ascii="仿宋" w:hAnsi="仿宋" w:eastAsia="仿宋" w:cs="Arial"/>
          <w:kern w:val="0"/>
          <w:sz w:val="32"/>
          <w:szCs w:val="32"/>
        </w:rPr>
        <w:t xml:space="preserve">  本暂行办法自印发之日起实施。</w:t>
      </w:r>
    </w:p>
    <w:p>
      <w:pPr>
        <w:rPr>
          <w:rFonts w:hint="eastAsia" w:ascii="仿宋" w:hAnsi="仿宋" w:eastAsia="仿宋"/>
          <w:szCs w:val="32"/>
        </w:rPr>
      </w:pPr>
    </w:p>
    <w:p>
      <w:pPr>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pPr>
        <w:snapToGrid w:val="0"/>
        <w:spacing w:line="600" w:lineRule="exact"/>
        <w:rPr>
          <w:rFonts w:hint="eastAsia" w:ascii="仿宋" w:hAnsi="仿宋" w:eastAsia="仿宋"/>
          <w:szCs w:val="32"/>
        </w:rPr>
      </w:pPr>
    </w:p>
    <w:p>
      <w:r>
        <w:rPr>
          <w:rFonts w:hint="eastAsia" w:ascii="仿宋" w:hAnsi="仿宋" w:eastAsia="仿宋"/>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ge">
                  <wp:posOffset>9053195</wp:posOffset>
                </wp:positionV>
                <wp:extent cx="5617845"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12.85pt;height:0pt;width:442.35pt;mso-position-vertical-relative:page;mso-wrap-distance-bottom:0pt;mso-wrap-distance-top:0pt;z-index:251661312;mso-width-relative:page;mso-height-relative:page;" filled="f" stroked="t" coordsize="21600,21600" o:gfxdata="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cS//tYAAAAKAQAADwAAAAAA&#10;AAABACAAAAAiAAAAZHJzL2Rvd25yZXYueG1sUEsBAhQAFAAAAAgAh07iQEuUA3bcAQAAlwMAAA4A&#10;AAAAAAAAAQAgAAAAJQEAAGRycy9lMm9Eb2MueG1sUEsFBgAAAAAGAAYAWQEAAHMFAAAAAA==&#10;">
                <v:fill on="f" focussize="0,0"/>
                <v:stroke weight="1.25pt" color="#000000" joinstyle="round"/>
                <v:imagedata o:title=""/>
                <o:lock v:ext="edit" aspectratio="f"/>
                <w10:wrap type="topAndBottom"/>
              </v:line>
            </w:pict>
          </mc:Fallback>
        </mc:AlternateContent>
      </w:r>
      <w:r>
        <w:rPr>
          <w:rFonts w:hint="eastAsia" w:ascii="仿宋" w:hAnsi="仿宋" w:eastAsia="仿宋"/>
          <w:szCs w:val="32"/>
        </w:rPr>
        <mc:AlternateContent>
          <mc:Choice Requires="wps">
            <w:drawing>
              <wp:anchor distT="0" distB="0" distL="114300" distR="114300" simplePos="0" relativeHeight="251663360" behindDoc="0" locked="0" layoutInCell="1" allowOverlap="1">
                <wp:simplePos x="0" y="0"/>
                <wp:positionH relativeFrom="margin">
                  <wp:posOffset>-1905</wp:posOffset>
                </wp:positionH>
                <wp:positionV relativeFrom="page">
                  <wp:posOffset>9053195</wp:posOffset>
                </wp:positionV>
                <wp:extent cx="5894705" cy="39624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5894705" cy="396240"/>
                        </a:xfrm>
                        <a:prstGeom prst="rect">
                          <a:avLst/>
                        </a:prstGeom>
                        <a:noFill/>
                        <a:ln>
                          <a:noFill/>
                        </a:ln>
                      </wps:spPr>
                      <wps:txbx>
                        <w:txbxContent>
                          <w:p>
                            <w:pPr>
                              <w:ind w:firstLine="320" w:firstLineChars="100"/>
                              <w:rPr>
                                <w:rFonts w:ascii="仿宋_GB2312"/>
                              </w:rPr>
                            </w:pPr>
                            <w:r>
                              <w:rPr>
                                <w:rFonts w:hint="eastAsia"/>
                              </w:rPr>
                              <w:t xml:space="preserve">福建省科学技术厅办公室         </w:t>
                            </w:r>
                            <w:r>
                              <w:rPr>
                                <w:rFonts w:hint="eastAsia" w:ascii="仿宋_GB2312"/>
                              </w:rPr>
                              <w:fldChar w:fldCharType="begin"/>
                            </w:r>
                            <w:r>
                              <w:rPr>
                                <w:rFonts w:hint="eastAsia" w:ascii="仿宋_GB2312"/>
                              </w:rPr>
                              <w:instrText xml:space="preserve"> MERGEFIELD  印发日期  \* MERGEFORMAT </w:instrText>
                            </w:r>
                            <w:r>
                              <w:rPr>
                                <w:rFonts w:ascii="仿宋_GB2312"/>
                              </w:rPr>
                              <w:fldChar w:fldCharType="separate"/>
                            </w:r>
                            <w:r>
                              <w:rPr>
                                <w:rFonts w:hint="eastAsia" w:ascii="仿宋_GB2312"/>
                              </w:rPr>
                              <w:t>2016年10月8日印发</w:t>
                            </w:r>
                            <w:r>
                              <w:rPr>
                                <w:rFonts w:hint="eastAsia" w:ascii="仿宋_GB2312"/>
                              </w:rPr>
                              <w:fldChar w:fldCharType="end"/>
                            </w:r>
                          </w:p>
                        </w:txbxContent>
                      </wps:txbx>
                      <wps:bodyPr lIns="0" tIns="0" rIns="0" bIns="0" upright="1"/>
                    </wps:wsp>
                  </a:graphicData>
                </a:graphic>
              </wp:anchor>
            </w:drawing>
          </mc:Choice>
          <mc:Fallback>
            <w:pict>
              <v:shape id="_x0000_s1026" o:spid="_x0000_s1026" o:spt="202" type="#_x0000_t202" style="position:absolute;left:0pt;margin-left:-0.15pt;margin-top:712.85pt;height:31.2pt;width:464.15pt;mso-position-horizontal-relative:margin;mso-position-vertical-relative:page;mso-wrap-distance-bottom:0pt;mso-wrap-distance-top:0pt;z-index:251663360;mso-width-relative:page;mso-height-relative:page;" filled="f" stroked="f" coordsize="21600,21600" o:gfxdata="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OtStbZAAAACwEAAA8AAAAA&#10;AAAAAQAgAAAAIgAAAGRycy9kb3ducmV2LnhtbFBLAQIUABQAAAAIAIdO4kDiOF4ioQEAACQDAAAO&#10;AAAAAAAAAAEAIAAAACgBAABkcnMvZTJvRG9jLnhtbFBLBQYAAAAABgAGAFkBAAA7BQAAAAA=&#10;">
                <v:fill on="f" focussize="0,0"/>
                <v:stroke on="f"/>
                <v:imagedata o:title=""/>
                <o:lock v:ext="edit" aspectratio="f"/>
                <v:textbox inset="0mm,0mm,0mm,0mm">
                  <w:txbxContent>
                    <w:p>
                      <w:pPr>
                        <w:ind w:firstLine="320" w:firstLineChars="100"/>
                        <w:rPr>
                          <w:rFonts w:ascii="仿宋_GB2312"/>
                        </w:rPr>
                      </w:pPr>
                      <w:r>
                        <w:rPr>
                          <w:rFonts w:hint="eastAsia"/>
                        </w:rPr>
                        <w:t xml:space="preserve">福建省科学技术厅办公室         </w:t>
                      </w:r>
                      <w:r>
                        <w:rPr>
                          <w:rFonts w:hint="eastAsia" w:ascii="仿宋_GB2312"/>
                        </w:rPr>
                        <w:fldChar w:fldCharType="begin"/>
                      </w:r>
                      <w:r>
                        <w:rPr>
                          <w:rFonts w:hint="eastAsia" w:ascii="仿宋_GB2312"/>
                        </w:rPr>
                        <w:instrText xml:space="preserve"> MERGEFIELD  印发日期  \* MERGEFORMAT </w:instrText>
                      </w:r>
                      <w:r>
                        <w:rPr>
                          <w:rFonts w:ascii="仿宋_GB2312"/>
                        </w:rPr>
                        <w:fldChar w:fldCharType="separate"/>
                      </w:r>
                      <w:r>
                        <w:rPr>
                          <w:rFonts w:hint="eastAsia" w:ascii="仿宋_GB2312"/>
                        </w:rPr>
                        <w:t>2016年10月8日印发</w:t>
                      </w:r>
                      <w:r>
                        <w:rPr>
                          <w:rFonts w:hint="eastAsia" w:ascii="仿宋_GB2312"/>
                        </w:rPr>
                        <w:fldChar w:fldCharType="end"/>
                      </w:r>
                    </w:p>
                  </w:txbxContent>
                </v:textbox>
                <w10:wrap type="topAndBottom"/>
              </v:shape>
            </w:pict>
          </mc:Fallback>
        </mc:AlternateContent>
      </w:r>
      <w:r>
        <w:rPr>
          <w:rFonts w:ascii="仿宋" w:hAnsi="仿宋" w:eastAsia="仿宋"/>
          <w:szCs w:val="32"/>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ge">
                  <wp:posOffset>9420860</wp:posOffset>
                </wp:positionV>
                <wp:extent cx="561022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741.8pt;height:0pt;width:441.75pt;mso-position-vertical-relative:page;mso-wrap-distance-bottom:0pt;mso-wrap-distance-top:0pt;z-index:251662336;mso-width-relative:page;mso-height-relative:page;" filled="f" stroked="t" coordsize="21600,21600" o:gfxdata="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d/J4/YAAAACwEAAA8AAAAA&#10;AAAAAQAgAAAAIgAAAGRycy9kb3ducmV2LnhtbFBLAQIUABQAAAAIAIdO4kA8YoWG2wEAAJcDAAAO&#10;AAAAAAAAAAEAIAAAACcBAABkcnMvZTJvRG9jLnhtbFBLBQYAAAAABgAGAFkBAAB0BQAAAAA=&#10;">
                <v:fill on="f" focussize="0,0"/>
                <v:stroke weight="1.25pt" color="#000000" joinstyle="round"/>
                <v:imagedata o:title=""/>
                <o:lock v:ext="edit" aspectratio="f"/>
                <w10:wrap type="topAndBottom"/>
              </v:line>
            </w:pict>
          </mc:Fallback>
        </mc:AlternateContent>
      </w:r>
    </w:p>
    <w:p/>
    <w:sectPr>
      <w:headerReference r:id="rId5" w:type="first"/>
      <w:headerReference r:id="rId3" w:type="default"/>
      <w:footerReference r:id="rId6" w:type="default"/>
      <w:headerReference r:id="rId4" w:type="even"/>
      <w:footerReference r:id="rId7" w:type="even"/>
      <w:pgSz w:w="11906" w:h="16838"/>
      <w:pgMar w:top="2098" w:right="1531" w:bottom="1531" w:left="1531" w:header="851" w:footer="1418" w:gutter="0"/>
      <w:pgNumType w:fmt="numberInDash"/>
      <w:cols w:space="425"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eastAsia="宋体"/>
        <w:sz w:val="28"/>
        <w:szCs w:val="28"/>
      </w:rPr>
    </w:pPr>
    <w:r>
      <w:rPr>
        <w:rStyle w:val="6"/>
        <w:rFonts w:hint="eastAsia" w:ascii="宋体" w:hAnsi="宋体" w:eastAsia="宋体"/>
        <w:sz w:val="28"/>
        <w:szCs w:val="28"/>
      </w:rPr>
      <w:fldChar w:fldCharType="begin"/>
    </w:r>
    <w:r>
      <w:rPr>
        <w:rStyle w:val="6"/>
        <w:rFonts w:hint="eastAsia" w:ascii="宋体" w:hAnsi="宋体" w:eastAsia="宋体"/>
        <w:sz w:val="28"/>
        <w:szCs w:val="28"/>
      </w:rPr>
      <w:instrText xml:space="preserve">PAGE  </w:instrText>
    </w:r>
    <w:r>
      <w:rPr>
        <w:rStyle w:val="6"/>
        <w:rFonts w:hint="eastAsia" w:ascii="宋体" w:hAnsi="宋体" w:eastAsia="宋体"/>
        <w:sz w:val="28"/>
        <w:szCs w:val="28"/>
      </w:rPr>
      <w:fldChar w:fldCharType="separate"/>
    </w:r>
    <w:r>
      <w:rPr>
        <w:rStyle w:val="6"/>
        <w:rFonts w:ascii="宋体" w:hAnsi="宋体" w:eastAsia="宋体"/>
        <w:sz w:val="28"/>
        <w:szCs w:val="28"/>
      </w:rPr>
      <w:t>- 1 -</w:t>
    </w:r>
    <w:r>
      <w:rPr>
        <w:rStyle w:val="6"/>
        <w:rFonts w:hint="eastAsia" w:ascii="宋体" w:hAnsi="宋体" w:eastAsia="宋体"/>
        <w:sz w:val="28"/>
        <w:szCs w:val="28"/>
      </w:rPr>
      <w:fldChar w:fldCharType="end"/>
    </w:r>
  </w:p>
  <w:p>
    <w:pPr>
      <w:pStyle w:val="2"/>
      <w:ind w:right="360" w:firstLine="360"/>
      <w:jc w:val="center"/>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- 2 -</w:t>
    </w:r>
    <w:r>
      <w:rPr>
        <w:rStyle w:val="6"/>
        <w:rFonts w:ascii="宋体" w:hAnsi="宋体" w:eastAsia="宋体"/>
        <w:sz w:val="28"/>
        <w:szCs w:val="28"/>
      </w:rPr>
      <w:fldChar w:fldCharType="end"/>
    </w:r>
  </w:p>
  <w:p>
    <w:pPr>
      <w:pStyle w:val="2"/>
      <w:ind w:right="360" w:firstLine="360"/>
      <w:jc w:val="center"/>
      <w:rPr>
        <w:rFonts w:hint="eastAsia"/>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B4B6C"/>
    <w:rsid w:val="2F06618F"/>
    <w:rsid w:val="35691DFC"/>
    <w:rsid w:val="40DB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列出段落"/>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2019-09-01T02:06:00Z</dcterms:created>
  <dc:creator>空白</dc:creator>
  <cp:lastModifiedBy>空白</cp:lastModifiedBy>
  <dcterms:modified xsi:type="dcterms:W3CDTF">2019-09-01T02:08:57Z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