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tabs>
          <w:tab w:val="left" w:pos="7336"/>
        </w:tabs>
        <w:spacing w:afterLines="200"/>
        <w:ind w:right="-1680" w:rightChars="-800"/>
        <w:jc w:val="left"/>
        <w:rPr>
          <w:rFonts w:ascii="方正小标宋简体" w:eastAsia="方正小标宋简体"/>
          <w:b w:val="0"/>
          <w:spacing w:val="120"/>
          <w:w w:val="100"/>
          <w:sz w:val="120"/>
          <w:szCs w:val="120"/>
        </w:rPr>
      </w:pPr>
      <w:r>
        <w:rPr>
          <w:w w:val="80"/>
          <w:sz w:val="120"/>
        </w:rPr>
        <w:pict>
          <v:shape id="_x0000_s1026" o:spid="_x0000_s1026" o:spt="175" type="#_x0000_t175" style="position:absolute;left:0pt;margin-left:0.2pt;margin-top:99.4pt;height:59.55pt;width:437.9pt;z-index:251660288;mso-width-relative:page;mso-height-relative:page;" fillcolor="#FF0000" filled="t" stroked="t" coordsize="21600,21600" adj="0">
            <v:path/>
            <v:fill on="t" color2="#FFFFFF" focussize="0,0"/>
            <v:stroke color="#FF0000"/>
            <v:imagedata o:title=""/>
            <o:lock v:ext="edit" aspectratio="f"/>
            <v:textpath on="t" fitshape="t" fitpath="t" trim="t" xscale="f" string="实验室与设备管理处文件" style="font-family:方正小标宋简体;font-size:36pt;v-text-align:stretch-justify;"/>
          </v:shape>
        </w:pict>
      </w:r>
    </w:p>
    <w:p>
      <w:pPr>
        <w:spacing w:line="340" w:lineRule="exact"/>
        <w:jc w:val="center"/>
        <w:rPr>
          <w:rFonts w:ascii="仿宋_GB2312" w:eastAsia="仿宋_GB2312"/>
          <w:sz w:val="32"/>
          <w:szCs w:val="32"/>
        </w:rPr>
      </w:pPr>
      <w:bookmarkStart w:id="0" w:name="wcurFileNO"/>
      <w:bookmarkEnd w:id="0"/>
    </w:p>
    <w:p>
      <w:pPr>
        <w:tabs>
          <w:tab w:val="left" w:pos="7513"/>
        </w:tabs>
        <w:ind w:right="183" w:rightChars="87"/>
        <w:jc w:val="center"/>
        <w:rPr>
          <w:rFonts w:ascii="仿宋_GB2312" w:eastAsia="仿宋_GB2312"/>
          <w:sz w:val="32"/>
        </w:rPr>
      </w:pPr>
      <w:bookmarkStart w:id="1" w:name="文件编号"/>
      <w:r>
        <w:rPr>
          <w:rFonts w:hint="eastAsia" w:ascii="仿宋_GB2312" w:eastAsia="仿宋_GB2312"/>
          <w:sz w:val="32"/>
        </w:rPr>
        <w:t>实验设备〔</w:t>
      </w:r>
      <w:r>
        <w:rPr>
          <w:rFonts w:ascii="仿宋_GB2312" w:eastAsia="仿宋_GB2312"/>
          <w:sz w:val="32"/>
        </w:rPr>
        <w:t>20</w:t>
      </w:r>
      <w:r>
        <w:rPr>
          <w:rFonts w:hint="eastAsia" w:ascii="仿宋_GB2312" w:eastAsia="仿宋_GB2312"/>
          <w:sz w:val="32"/>
          <w:lang w:val="en-US" w:eastAsia="zh-CN"/>
        </w:rPr>
        <w:t>23</w:t>
      </w:r>
      <w:r>
        <w:rPr>
          <w:rFonts w:hint="eastAsia" w:ascii="仿宋_GB2312" w:eastAsia="仿宋_GB2312"/>
          <w:sz w:val="32"/>
        </w:rPr>
        <w:t>〕</w:t>
      </w:r>
      <w:bookmarkEnd w:id="1"/>
      <w:r>
        <w:rPr>
          <w:rFonts w:hint="eastAsia" w:ascii="仿宋_GB2312" w:eastAsia="仿宋_GB2312"/>
          <w:sz w:val="32"/>
          <w:lang w:val="en-US" w:eastAsia="zh-CN"/>
        </w:rPr>
        <w:t>2</w:t>
      </w:r>
      <w:r>
        <w:rPr>
          <w:rFonts w:hint="eastAsia" w:ascii="仿宋_GB2312" w:eastAsia="仿宋_GB2312"/>
          <w:sz w:val="32"/>
        </w:rPr>
        <w:t>号</w:t>
      </w:r>
    </w:p>
    <w:p>
      <w:pPr>
        <w:pStyle w:val="12"/>
        <w:keepNext w:val="0"/>
        <w:keepLines w:val="0"/>
        <w:pageBreakBefore w:val="0"/>
        <w:kinsoku/>
        <w:overflowPunct/>
        <w:topLinePunct w:val="0"/>
        <w:autoSpaceDE/>
        <w:autoSpaceDN/>
        <w:bidi w:val="0"/>
        <w:adjustRightInd/>
        <w:snapToGrid/>
        <w:spacing w:line="560" w:lineRule="exact"/>
        <w:jc w:val="both"/>
        <w:textAlignment w:val="auto"/>
        <w:rPr>
          <w:rFonts w:ascii="方正小标宋简体" w:hAnsi="方正小标宋简体" w:eastAsia="方正小标宋简体" w:cs="方正小标宋简体"/>
          <w:bCs/>
          <w:spacing w:val="-8"/>
          <w:sz w:val="44"/>
          <w:szCs w:val="44"/>
        </w:rPr>
      </w:pPr>
      <w:r>
        <w:rPr>
          <w:rFonts w:ascii="仿宋_GB2312" w:hAnsi="微软雅黑" w:eastAsia="仿宋_GB2312" w:cs="宋体"/>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margin">
                  <wp:posOffset>-28575</wp:posOffset>
                </wp:positionH>
                <wp:positionV relativeFrom="paragraph">
                  <wp:posOffset>46355</wp:posOffset>
                </wp:positionV>
                <wp:extent cx="5544185" cy="635"/>
                <wp:effectExtent l="0" t="17780" r="18415" b="19685"/>
                <wp:wrapNone/>
                <wp:docPr id="51" name="自选图形 3"/>
                <wp:cNvGraphicFramePr/>
                <a:graphic xmlns:a="http://schemas.openxmlformats.org/drawingml/2006/main">
                  <a:graphicData uri="http://schemas.microsoft.com/office/word/2010/wordprocessingShape">
                    <wps:wsp>
                      <wps:cNvCnPr/>
                      <wps:spPr>
                        <a:xfrm>
                          <a:off x="0" y="0"/>
                          <a:ext cx="5544185" cy="635"/>
                        </a:xfrm>
                        <a:prstGeom prst="straightConnector1">
                          <a:avLst/>
                        </a:prstGeom>
                        <a:ln w="36000" cap="flat" cmpd="sng">
                          <a:solidFill>
                            <a:srgbClr val="FF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2.25pt;margin-top:3.65pt;height:0.05pt;width:436.55pt;mso-position-horizontal-relative:margin;z-index:251659264;mso-width-relative:page;mso-height-relative:page;" filled="f" stroked="t" coordsize="21600,21600" o:gfxdata="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T5lf1AAAAAYBAAAPAAAAAAAAAAEAIAAAACIAAABkcnMvZG93bnJl&#10;di54bWxQSwECFAAUAAAACACHTuJA1NZSXgECAAD1AwAADgAAAAAAAAABACAAAAAjAQAAZHJzL2Uy&#10;b0RvYy54bWxQSwUGAAAAAAYABgBZAQAAlgUAAAAA&#10;">
                <v:fill on="f" focussize="0,0"/>
                <v:stroke weight="2.83464566929134pt" color="#FF0000" joinstyle="round"/>
                <v:imagedata o:title=""/>
                <o:lock v:ext="edit" aspectratio="f"/>
              </v:shape>
            </w:pict>
          </mc:Fallback>
        </mc:AlternateContent>
      </w:r>
    </w:p>
    <w:p>
      <w:pPr>
        <w:spacing w:line="540" w:lineRule="exact"/>
        <w:jc w:val="center"/>
        <w:rPr>
          <w:rFonts w:hint="eastAsia" w:ascii="方正小标宋简体" w:hAnsi="方正小标宋简体" w:eastAsia="方正小标宋简体" w:cs="方正小标宋简体"/>
          <w:bCs/>
          <w:kern w:val="21"/>
          <w:sz w:val="44"/>
          <w:szCs w:val="44"/>
        </w:rPr>
      </w:pPr>
      <w:r>
        <w:rPr>
          <w:rFonts w:hint="eastAsia" w:ascii="方正小标宋简体" w:hAnsi="方正小标宋简体" w:eastAsia="方正小标宋简体" w:cs="方正小标宋简体"/>
          <w:bCs/>
          <w:kern w:val="21"/>
          <w:sz w:val="44"/>
          <w:szCs w:val="44"/>
          <w:lang w:eastAsia="zh-CN"/>
        </w:rPr>
        <w:t>实验室与设备管理处</w:t>
      </w:r>
      <w:r>
        <w:rPr>
          <w:rFonts w:hint="eastAsia" w:ascii="方正小标宋简体" w:hAnsi="方正小标宋简体" w:eastAsia="方正小标宋简体" w:cs="方正小标宋简体"/>
          <w:bCs/>
          <w:kern w:val="21"/>
          <w:sz w:val="44"/>
          <w:szCs w:val="44"/>
        </w:rPr>
        <w:t>关于做好</w:t>
      </w:r>
    </w:p>
    <w:p>
      <w:pPr>
        <w:spacing w:line="540" w:lineRule="exact"/>
        <w:jc w:val="center"/>
        <w:rPr>
          <w:rFonts w:hint="eastAsia" w:ascii="方正小标宋简体" w:hAnsi="方正小标宋简体" w:eastAsia="方正小标宋简体" w:cs="方正小标宋简体"/>
          <w:bCs/>
          <w:kern w:val="21"/>
          <w:sz w:val="44"/>
          <w:szCs w:val="44"/>
        </w:rPr>
      </w:pPr>
      <w:r>
        <w:rPr>
          <w:rFonts w:hint="eastAsia" w:ascii="方正小标宋简体" w:hAnsi="方正小标宋简体" w:eastAsia="方正小标宋简体" w:cs="方正小标宋简体"/>
          <w:bCs/>
          <w:kern w:val="21"/>
          <w:sz w:val="44"/>
          <w:szCs w:val="44"/>
        </w:rPr>
        <w:t>202</w:t>
      </w:r>
      <w:r>
        <w:rPr>
          <w:rFonts w:hint="eastAsia" w:ascii="方正小标宋简体" w:hAnsi="方正小标宋简体" w:eastAsia="方正小标宋简体" w:cs="方正小标宋简体"/>
          <w:bCs/>
          <w:kern w:val="21"/>
          <w:sz w:val="44"/>
          <w:szCs w:val="44"/>
          <w:lang w:val="en-US" w:eastAsia="zh-CN"/>
        </w:rPr>
        <w:t>3</w:t>
      </w:r>
      <w:r>
        <w:rPr>
          <w:rFonts w:hint="eastAsia" w:ascii="方正小标宋简体" w:hAnsi="方正小标宋简体" w:eastAsia="方正小标宋简体" w:cs="方正小标宋简体"/>
          <w:bCs/>
          <w:kern w:val="21"/>
          <w:sz w:val="44"/>
          <w:szCs w:val="44"/>
        </w:rPr>
        <w:t>年</w:t>
      </w:r>
      <w:r>
        <w:rPr>
          <w:rFonts w:hint="eastAsia" w:ascii="方正小标宋简体" w:hAnsi="方正小标宋简体" w:eastAsia="方正小标宋简体" w:cs="方正小标宋简体"/>
          <w:bCs/>
          <w:kern w:val="21"/>
          <w:sz w:val="44"/>
          <w:szCs w:val="44"/>
          <w:lang w:eastAsia="zh-CN"/>
        </w:rPr>
        <w:t>春</w:t>
      </w:r>
      <w:r>
        <w:rPr>
          <w:rFonts w:hint="eastAsia" w:ascii="方正小标宋简体" w:hAnsi="方正小标宋简体" w:eastAsia="方正小标宋简体" w:cs="方正小标宋简体"/>
          <w:bCs/>
          <w:kern w:val="21"/>
          <w:sz w:val="44"/>
          <w:szCs w:val="44"/>
        </w:rPr>
        <w:t>季</w:t>
      </w:r>
      <w:r>
        <w:rPr>
          <w:rFonts w:hint="eastAsia" w:ascii="方正小标宋简体" w:hAnsi="方正小标宋简体" w:eastAsia="方正小标宋简体" w:cs="方正小标宋简体"/>
          <w:bCs/>
          <w:kern w:val="21"/>
          <w:sz w:val="44"/>
          <w:szCs w:val="44"/>
          <w:lang w:val="en-US" w:eastAsia="zh-CN"/>
        </w:rPr>
        <w:t>期初</w:t>
      </w:r>
      <w:r>
        <w:rPr>
          <w:rFonts w:hint="eastAsia" w:ascii="方正小标宋简体" w:hAnsi="方正小标宋简体" w:eastAsia="方正小标宋简体" w:cs="方正小标宋简体"/>
          <w:bCs/>
          <w:kern w:val="21"/>
          <w:sz w:val="44"/>
          <w:szCs w:val="44"/>
        </w:rPr>
        <w:t>实验室安全管理工作的通知</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各相关单位：</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为切实做好2023年春季期初实验室安全管理工作，</w:t>
      </w:r>
      <w:r>
        <w:rPr>
          <w:rFonts w:hint="eastAsia" w:ascii="仿宋_GB2312" w:hAnsi="仿宋_GB2312" w:eastAsia="仿宋_GB2312" w:cs="仿宋_GB2312"/>
          <w:color w:val="auto"/>
          <w:kern w:val="0"/>
          <w:sz w:val="32"/>
          <w:szCs w:val="32"/>
          <w:lang w:val="en-US" w:eastAsia="zh-CN" w:bidi="ar"/>
        </w:rPr>
        <w:t>确保学校实验室安全有序运行，</w:t>
      </w:r>
      <w:r>
        <w:rPr>
          <w:rFonts w:hint="eastAsia" w:ascii="仿宋_GB2312" w:hAnsi="仿宋_GB2312" w:eastAsia="仿宋_GB2312" w:cs="仿宋_GB2312"/>
          <w:kern w:val="0"/>
          <w:sz w:val="32"/>
          <w:szCs w:val="32"/>
          <w:lang w:val="en-US" w:eastAsia="zh-CN" w:bidi="ar"/>
        </w:rPr>
        <w:t>现将有关事项通知如下：</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643" w:firstLineChars="200"/>
        <w:jc w:val="both"/>
        <w:textAlignment w:val="auto"/>
        <w:rPr>
          <w:rStyle w:val="9"/>
          <w:rFonts w:hint="eastAsia" w:ascii="黑体" w:hAnsi="黑体" w:eastAsia="黑体" w:cs="黑体"/>
          <w:bCs/>
          <w:kern w:val="0"/>
          <w:sz w:val="32"/>
          <w:szCs w:val="32"/>
          <w:lang w:val="en-US" w:eastAsia="zh-CN" w:bidi="ar"/>
        </w:rPr>
      </w:pPr>
      <w:r>
        <w:rPr>
          <w:rStyle w:val="9"/>
          <w:rFonts w:hint="eastAsia" w:ascii="黑体" w:hAnsi="黑体" w:eastAsia="黑体" w:cs="黑体"/>
          <w:bCs/>
          <w:kern w:val="0"/>
          <w:sz w:val="32"/>
          <w:szCs w:val="32"/>
          <w:lang w:val="en-US" w:eastAsia="zh-CN" w:bidi="ar"/>
        </w:rPr>
        <w:t>一、落实疫情防控措施</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各单位应根据学校疫情防控相关要求和实验室安全管理规定，持续做好以下工作：</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（一）寒假未开展实验活动的实验室，启用前应提前开窗通风，特别是存放化学品、气瓶的实验场所；日常使用实验室时应经常开窗通风换气。</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开学前三天应对实验场所和仪器设备进行消毒，全面清理实验室环境卫生；严格落实值日制度，做好实验室日常清洁与消毒工作，保持实验室卫生、整洁。消毒时应注意做好个人、仪器设备及特殊物品的防护。</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（三）完善实验室的防疫物资储备，确保配备一定数量的防护口罩、洗手液、消毒剂等必要物资，明确疫情防控应急处置流程。</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（四）配送至实验室的进口冷链生化试剂，各实验室应认真查验其防疫检测信息和消毒记录；收货时对其外包装、各环节容许拆分的最小独立包装进行消毒后，方可放入冰箱。</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643" w:firstLineChars="200"/>
        <w:jc w:val="both"/>
        <w:textAlignment w:val="auto"/>
        <w:rPr>
          <w:rStyle w:val="9"/>
          <w:rFonts w:hint="eastAsia" w:ascii="黑体" w:hAnsi="黑体" w:eastAsia="黑体" w:cs="黑体"/>
          <w:bCs/>
          <w:kern w:val="0"/>
          <w:sz w:val="32"/>
          <w:szCs w:val="32"/>
          <w:lang w:val="en-US" w:eastAsia="zh-CN" w:bidi="ar"/>
        </w:rPr>
      </w:pPr>
      <w:r>
        <w:rPr>
          <w:rStyle w:val="9"/>
          <w:rFonts w:hint="eastAsia" w:ascii="黑体" w:hAnsi="黑体" w:eastAsia="黑体" w:cs="黑体"/>
          <w:bCs/>
          <w:kern w:val="0"/>
          <w:sz w:val="32"/>
          <w:szCs w:val="32"/>
          <w:lang w:val="en-US" w:eastAsia="zh-CN" w:bidi="ar"/>
        </w:rPr>
        <w:t>二、做好实验室安全检查和隐患整改</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640" w:firstLineChars="200"/>
        <w:jc w:val="left"/>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各单位在开学前应组织开展一次全面的实验室安全检查，做好检查记录，对发现的问题逐项督促整改落实，排除安全隐患后方可启用实验室。重点检查以下内容：</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实验室危险源的管理。重点对易燃、易爆、易制毒、易制爆、剧毒化学品安全及生物安全等风险点进行检查，对照清单逐一进行清点，确保科学有序存放、账实相符、假期无丢失或泄露等情况；检查化学品储存场所，确保通风、温度控制、监控、报警等安全设施运行良好；检查特种设备的安全状况并进行调试;检查气体钢瓶是否放置于气瓶柜或配备相应固定措施，确保气体钢瓶处于安全可用状态。</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实验室用电和消防安全。做好实验仪器设备调试、维护工作，特别是对长期未使用的仪器设备、空调、冰箱、监控报警设备、排气扇、通风橱等用电设备及线路开展检查，避免突然通电造成设备设施损坏和人员受伤；检</w:t>
      </w:r>
      <w:r>
        <w:rPr>
          <w:rFonts w:hint="default" w:ascii="仿宋_GB2312" w:hAnsi="仿宋_GB2312" w:eastAsia="仿宋_GB2312" w:cs="仿宋_GB2312"/>
          <w:kern w:val="0"/>
          <w:sz w:val="32"/>
          <w:szCs w:val="32"/>
          <w:lang w:val="en-US" w:eastAsia="zh-CN" w:bidi="ar"/>
        </w:rPr>
        <w:t>查</w:t>
      </w:r>
      <w:r>
        <w:rPr>
          <w:rFonts w:hint="eastAsia" w:ascii="仿宋_GB2312" w:hAnsi="仿宋_GB2312" w:eastAsia="仿宋_GB2312" w:cs="仿宋_GB2312"/>
          <w:kern w:val="0"/>
          <w:sz w:val="32"/>
          <w:szCs w:val="32"/>
          <w:lang w:val="en-US" w:eastAsia="zh-CN" w:bidi="ar"/>
        </w:rPr>
        <w:t>实验室</w:t>
      </w:r>
      <w:r>
        <w:rPr>
          <w:rFonts w:hint="default" w:ascii="仿宋_GB2312" w:hAnsi="仿宋_GB2312" w:eastAsia="仿宋_GB2312" w:cs="仿宋_GB2312"/>
          <w:kern w:val="0"/>
          <w:sz w:val="32"/>
          <w:szCs w:val="32"/>
          <w:lang w:val="en-US" w:eastAsia="zh-CN" w:bidi="ar"/>
        </w:rPr>
        <w:t>消防设施有无配齐、消防通道有无堵塞，确认灭火器、灭火毯、消防沙箱、消防栓、烟感报警器等消防设施有效，数量种类位置配置合理；检查配电箱的使用是否规范、空气开关是否正常、有无使用大功率电器（明火电炉、暖风器、电热壶等）、有无乱拉电线、电线是否老化、电源插座是否过载、长时间不用设备有无断电情况；检查实验室水阀、水管的排水情况以及是否泄漏</w:t>
      </w:r>
      <w:r>
        <w:rPr>
          <w:rFonts w:hint="eastAsia" w:ascii="仿宋_GB2312" w:hAnsi="仿宋_GB2312" w:eastAsia="仿宋_GB2312" w:cs="仿宋_GB2312"/>
          <w:kern w:val="0"/>
          <w:sz w:val="32"/>
          <w:szCs w:val="32"/>
          <w:lang w:val="en-US" w:eastAsia="zh-CN" w:bidi="ar"/>
        </w:rPr>
        <w:t>；检查实验楼环境，是否有电动车在实验楼或实验室内停放、充电。</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实验室各类标识和安全防护设施。检查实验室安全信息牌，实验室信息或管理人员有调整变化的，应及时更新并上报；检查实验室安全管理台账和各类警示标识，及时领取补充新台账，更换老旧或脱落标识；检查实验室的通风橱、紧急喷淋、洗眼器等安全设施，确保处于正常工作状态；检查应急物资柜、急救药箱等，及时补齐物资，确保实验楼或实验室配备合适的应急物资和个人防护用品，且在有效期内，存放地点有明显标识。</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643" w:firstLineChars="200"/>
        <w:jc w:val="both"/>
        <w:textAlignment w:val="auto"/>
        <w:rPr>
          <w:rStyle w:val="9"/>
          <w:rFonts w:hint="eastAsia" w:ascii="黑体" w:hAnsi="黑体" w:eastAsia="黑体" w:cs="黑体"/>
          <w:bCs/>
          <w:kern w:val="0"/>
          <w:sz w:val="32"/>
          <w:szCs w:val="32"/>
          <w:lang w:val="en-US" w:eastAsia="zh-CN" w:bidi="ar"/>
        </w:rPr>
      </w:pPr>
      <w:r>
        <w:rPr>
          <w:rStyle w:val="9"/>
          <w:rFonts w:hint="eastAsia" w:ascii="黑体" w:hAnsi="黑体" w:eastAsia="黑体" w:cs="黑体"/>
          <w:bCs/>
          <w:kern w:val="0"/>
          <w:sz w:val="32"/>
          <w:szCs w:val="32"/>
          <w:lang w:val="en-US" w:eastAsia="zh-CN" w:bidi="ar"/>
        </w:rPr>
        <w:t>三、做好实验室使用管理</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w:t>
      </w:r>
      <w:r>
        <w:rPr>
          <w:rFonts w:hint="eastAsia" w:ascii="仿宋_GB2312" w:hAnsi="仿宋_GB2312" w:eastAsia="仿宋_GB2312" w:cs="仿宋_GB2312"/>
          <w:color w:val="auto"/>
          <w:kern w:val="0"/>
          <w:sz w:val="32"/>
          <w:szCs w:val="32"/>
          <w:lang w:val="en-US" w:eastAsia="zh-CN" w:bidi="ar"/>
        </w:rPr>
        <w:t>严格落实学校疫情防控和实验室安全管理各项规定。各单位应制定好新学期实验计划,合理安排教学、科研实验任务。</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（二）严格实验室准入制度。进入实验室人员要自觉遵守学校、二级单位和实验室的各项规章制度及管理要求，须穿着实验服，按需佩戴合适的个人防护用品，未获准许的人员不得进入实验室。</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（三）加强实验室安全教育工作。实验任课教师、实验室负责人应上好学期初实验第一课，结合实验项目内容、实验室特点、实验风险点等方面，对学生进行实验室安全专项教育</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kern w:val="0"/>
          <w:sz w:val="32"/>
          <w:szCs w:val="32"/>
          <w:lang w:val="en-US" w:eastAsia="zh-CN" w:bidi="ar"/>
        </w:rPr>
        <w:t>强调实验操作规范、实验中可能遇到的主要危害、注意事项、突发事故应对措施等，保障实验室安全有序运行。</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643" w:firstLineChars="200"/>
        <w:jc w:val="both"/>
        <w:textAlignment w:val="auto"/>
        <w:rPr>
          <w:rStyle w:val="9"/>
          <w:rFonts w:hint="eastAsia" w:ascii="黑体" w:hAnsi="黑体" w:eastAsia="黑体" w:cs="黑体"/>
          <w:bCs/>
          <w:kern w:val="0"/>
          <w:sz w:val="32"/>
          <w:szCs w:val="32"/>
          <w:lang w:val="en-US" w:eastAsia="zh-CN" w:bidi="ar"/>
        </w:rPr>
      </w:pPr>
      <w:r>
        <w:rPr>
          <w:rStyle w:val="9"/>
          <w:rFonts w:hint="eastAsia" w:ascii="黑体" w:hAnsi="黑体" w:eastAsia="黑体" w:cs="黑体"/>
          <w:bCs/>
          <w:kern w:val="0"/>
          <w:sz w:val="32"/>
          <w:szCs w:val="32"/>
          <w:lang w:val="en-US" w:eastAsia="zh-CN" w:bidi="ar"/>
        </w:rPr>
        <w:t>四、其它事项</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1.请各单位重视期初实验室安全管理工作，严格落实实验室安全工作责任制，做好自查自纠工作，对自查发现的问题，要迅速处置，及时消除安全隐患，并填写《泉州师范学院实验室安全自查记录本》</w:t>
      </w:r>
      <w:r>
        <w:rPr>
          <w:rFonts w:hint="eastAsia" w:ascii="仿宋_GB2312" w:hAnsi="仿宋_GB2312" w:eastAsia="仿宋_GB2312" w:cs="仿宋_GB2312"/>
          <w:color w:val="auto"/>
          <w:kern w:val="0"/>
          <w:sz w:val="32"/>
          <w:szCs w:val="32"/>
          <w:lang w:val="en-US" w:eastAsia="zh-CN" w:bidi="ar"/>
        </w:rPr>
        <w:t>《泉州师范学院实验室安全隐患排查整改情况表》和《泉州师范学院实验室消毒记录表》。其中《泉州师范学院实验室安全隐患排查整改情况表》</w:t>
      </w:r>
      <w:r>
        <w:rPr>
          <w:rFonts w:hint="eastAsia" w:ascii="仿宋_GB2312" w:hAnsi="仿宋_GB2312" w:eastAsia="仿宋_GB2312" w:cs="仿宋_GB2312"/>
          <w:kern w:val="0"/>
          <w:sz w:val="32"/>
          <w:szCs w:val="32"/>
          <w:lang w:val="en-US" w:eastAsia="zh-CN" w:bidi="ar"/>
        </w:rPr>
        <w:t>电子版于2月15日前发送至syzx@qztc.edu.cn，纸质版和《泉州师范学院实验室消毒记录表》经单位负责人签字后加盖单位公章送至实验室与设备管理处实验室管理科（行政楼410室），联系电话：0595-22050058。</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2.学校将于2月中旬组织人员对各单位实验室和实训场所进行现场检查。</w:t>
      </w:r>
    </w:p>
    <w:p>
      <w:pPr>
        <w:pStyle w:val="2"/>
        <w:ind w:left="0" w:leftChars="0" w:firstLine="640" w:firstLineChars="200"/>
        <w:rPr>
          <w:rFonts w:hint="eastAsia" w:ascii="仿宋_GB2312" w:hAnsi="仿宋_GB2312" w:eastAsia="仿宋_GB2312" w:cs="仿宋_GB2312"/>
          <w:kern w:val="0"/>
          <w:sz w:val="32"/>
          <w:szCs w:val="32"/>
          <w:lang w:val="en-US" w:eastAsia="zh-CN" w:bidi="ar"/>
        </w:rPr>
      </w:pPr>
    </w:p>
    <w:p>
      <w:pPr>
        <w:pStyle w:val="2"/>
        <w:ind w:left="0" w:leftChars="0" w:firstLine="640" w:firstLineChars="200"/>
        <w:rPr>
          <w:rFonts w:hint="default" w:ascii="仿宋_GB2312" w:hAnsi="仿宋_GB2312" w:eastAsia="仿宋_GB2312" w:cs="仿宋_GB2312"/>
          <w:color w:val="FF0000"/>
          <w:kern w:val="0"/>
          <w:sz w:val="32"/>
          <w:szCs w:val="32"/>
          <w:lang w:val="en-US" w:eastAsia="zh-CN" w:bidi="ar"/>
        </w:rPr>
      </w:pPr>
      <w:r>
        <w:rPr>
          <w:rFonts w:hint="eastAsia" w:ascii="仿宋_GB2312" w:hAnsi="仿宋_GB2312" w:eastAsia="仿宋_GB2312" w:cs="仿宋_GB2312"/>
          <w:kern w:val="0"/>
          <w:sz w:val="32"/>
          <w:szCs w:val="32"/>
          <w:lang w:val="en-US" w:eastAsia="zh-CN" w:bidi="ar"/>
        </w:rPr>
        <w:t>附件：1.</w:t>
      </w:r>
      <w:r>
        <w:rPr>
          <w:rFonts w:hint="eastAsia" w:ascii="仿宋_GB2312" w:hAnsi="仿宋_GB2312" w:eastAsia="仿宋_GB2312" w:cs="仿宋_GB2312"/>
          <w:color w:val="auto"/>
          <w:kern w:val="0"/>
          <w:sz w:val="32"/>
          <w:szCs w:val="32"/>
          <w:lang w:val="en-US" w:eastAsia="zh-CN" w:bidi="ar"/>
        </w:rPr>
        <w:t>泉州师范学院实验室安全隐患排查整改情况表</w:t>
      </w:r>
    </w:p>
    <w:p>
      <w:pPr>
        <w:pStyle w:val="2"/>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2.泉州师范学院实验室消毒记录表</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4800" w:firstLineChars="1500"/>
        <w:jc w:val="both"/>
        <w:textAlignment w:val="auto"/>
        <w:rPr>
          <w:rFonts w:hint="eastAsia" w:ascii="仿宋_GB2312" w:hAnsi="仿宋_GB2312" w:eastAsia="仿宋_GB2312" w:cs="仿宋_GB2312"/>
          <w:kern w:val="0"/>
          <w:sz w:val="32"/>
          <w:szCs w:val="32"/>
          <w:lang w:val="en-US" w:eastAsia="zh-CN" w:bidi="ar"/>
        </w:rPr>
      </w:pPr>
    </w:p>
    <w:p>
      <w:pPr>
        <w:pStyle w:val="2"/>
        <w:rPr>
          <w:rFonts w:hint="eastAsia" w:ascii="仿宋_GB2312" w:hAnsi="仿宋_GB2312" w:eastAsia="仿宋_GB2312" w:cs="仿宋_GB2312"/>
          <w:kern w:val="0"/>
          <w:sz w:val="32"/>
          <w:szCs w:val="32"/>
          <w:lang w:val="en-US" w:eastAsia="zh-CN" w:bidi="ar"/>
        </w:rPr>
      </w:pPr>
    </w:p>
    <w:p>
      <w:pPr>
        <w:pStyle w:val="2"/>
        <w:rPr>
          <w:rFonts w:hint="eastAsia" w:ascii="仿宋_GB2312" w:hAnsi="仿宋_GB2312" w:eastAsia="仿宋_GB2312" w:cs="仿宋_GB2312"/>
          <w:kern w:val="0"/>
          <w:sz w:val="32"/>
          <w:szCs w:val="32"/>
          <w:lang w:val="en-US" w:eastAsia="zh-CN" w:bidi="ar"/>
        </w:rPr>
      </w:pPr>
    </w:p>
    <w:p>
      <w:pPr>
        <w:pStyle w:val="2"/>
        <w:rPr>
          <w:rFonts w:hint="eastAsia"/>
          <w:lang w:val="en-US" w:eastAsia="zh-CN"/>
        </w:rPr>
      </w:pP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4800" w:firstLineChars="1500"/>
        <w:jc w:val="both"/>
        <w:textAlignment w:val="auto"/>
        <w:rPr>
          <w:rFonts w:hint="eastAsia" w:ascii="仿宋_GB2312" w:hAnsi="仿宋_GB2312" w:eastAsia="仿宋_GB2312" w:cs="仿宋_GB2312"/>
          <w:i w:val="0"/>
          <w:iCs w:val="0"/>
          <w:caps w:val="0"/>
          <w:color w:val="666666"/>
          <w:spacing w:val="0"/>
          <w:sz w:val="32"/>
          <w:szCs w:val="32"/>
          <w:shd w:val="clear" w:color="auto" w:fill="FFFFFF"/>
          <w:lang w:val="en-US" w:eastAsia="zh-CN"/>
        </w:rPr>
      </w:pPr>
      <w:r>
        <w:rPr>
          <w:rFonts w:hint="eastAsia" w:ascii="仿宋_GB2312" w:hAnsi="仿宋_GB2312" w:eastAsia="仿宋_GB2312" w:cs="仿宋_GB2312"/>
          <w:kern w:val="0"/>
          <w:sz w:val="32"/>
          <w:szCs w:val="32"/>
          <w:lang w:val="en-US" w:eastAsia="zh-CN" w:bidi="ar"/>
        </w:rPr>
        <w:t>实验室与设备管理处   </w:t>
      </w:r>
      <w:r>
        <w:rPr>
          <w:rFonts w:hint="eastAsia" w:ascii="仿宋_GB2312" w:hAnsi="仿宋_GB2312" w:eastAsia="仿宋_GB2312" w:cs="仿宋_GB2312"/>
          <w:i w:val="0"/>
          <w:iCs w:val="0"/>
          <w:caps w:val="0"/>
          <w:color w:val="666666"/>
          <w:spacing w:val="0"/>
          <w:sz w:val="32"/>
          <w:szCs w:val="32"/>
          <w:shd w:val="clear" w:color="auto" w:fill="FFFFFF"/>
          <w:lang w:val="en-US" w:eastAsia="zh-CN"/>
        </w:rPr>
        <w:t> </w:t>
      </w:r>
    </w:p>
    <w:p>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atLeast"/>
        <w:ind w:right="0" w:firstLine="5120" w:firstLineChars="1600"/>
        <w:jc w:val="both"/>
        <w:textAlignment w:val="auto"/>
        <w:rPr>
          <w:rFonts w:hint="eastAsia" w:ascii="仿宋_GB2312" w:hAnsi="仿宋_GB2312" w:eastAsia="仿宋_GB2312" w:cs="仿宋_GB2312"/>
          <w:i w:val="0"/>
          <w:iCs w:val="0"/>
          <w:caps w:val="0"/>
          <w:color w:val="666666"/>
          <w:spacing w:val="0"/>
          <w:sz w:val="32"/>
          <w:szCs w:val="32"/>
          <w:shd w:val="clear" w:color="auto" w:fill="FFFFFF"/>
          <w:lang w:val="en-US" w:eastAsia="zh-CN"/>
        </w:rPr>
      </w:pPr>
      <w:r>
        <w:rPr>
          <w:rFonts w:hint="eastAsia" w:ascii="仿宋_GB2312" w:hAnsi="仿宋_GB2312" w:eastAsia="仿宋_GB2312" w:cs="仿宋_GB2312"/>
          <w:i w:val="0"/>
          <w:iCs w:val="0"/>
          <w:caps w:val="0"/>
          <w:color w:val="666666"/>
          <w:spacing w:val="0"/>
          <w:sz w:val="32"/>
          <w:szCs w:val="32"/>
          <w:shd w:val="clear" w:color="auto" w:fill="FFFFFF"/>
          <w:lang w:val="en-US" w:eastAsia="zh-CN"/>
        </w:rPr>
        <w:t>2023年2月9日 </w:t>
      </w:r>
    </w:p>
    <w:p>
      <w:pPr>
        <w:pStyle w:val="2"/>
        <w:rPr>
          <w:rFonts w:hint="eastAsia" w:ascii="仿宋_GB2312" w:hAnsi="仿宋_GB2312" w:eastAsia="仿宋_GB2312" w:cs="仿宋_GB2312"/>
          <w:i w:val="0"/>
          <w:iCs w:val="0"/>
          <w:caps w:val="0"/>
          <w:color w:val="666666"/>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val="0"/>
        <w:spacing w:line="500" w:lineRule="atLeas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tabs>
          <w:tab w:val="left" w:pos="7920"/>
        </w:tabs>
        <w:spacing w:line="540" w:lineRule="exact"/>
        <w:ind w:firstLine="210" w:firstLineChars="100"/>
        <w:rPr>
          <w:rFonts w:hint="default" w:ascii="仿宋_GB2312" w:eastAsia="仿宋_GB2312"/>
          <w:sz w:val="28"/>
          <w:szCs w:val="28"/>
          <w:lang w:val="en-US" w:eastAsia="zh-CN"/>
        </w:rPr>
      </w:pPr>
      <w: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40640</wp:posOffset>
                </wp:positionV>
                <wp:extent cx="5674995" cy="1270"/>
                <wp:effectExtent l="0" t="0" r="0" b="0"/>
                <wp:wrapNone/>
                <wp:docPr id="1" name="直线 2"/>
                <wp:cNvGraphicFramePr/>
                <a:graphic xmlns:a="http://schemas.openxmlformats.org/drawingml/2006/main">
                  <a:graphicData uri="http://schemas.microsoft.com/office/word/2010/wordprocessingShape">
                    <wps:wsp>
                      <wps:cNvCnPr/>
                      <wps:spPr>
                        <a:xfrm flipV="1">
                          <a:off x="0" y="0"/>
                          <a:ext cx="567499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3pt;margin-top:3.2pt;height:0.1pt;width:446.85pt;z-index:251661312;mso-width-relative:page;mso-height-relative:page;" filled="f" stroked="t" coordsize="21600,21600" o:gfxdata="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DoNx9QAAAAGAQAADwAAAAAAAAABACAAAAAiAAAAZHJzL2Rvd25yZXYueG1sUEsBAhQAFAAA&#10;AAgAh07iQJ8CupzzAQAA6QMAAA4AAAAAAAAAAQAgAAAAIwEAAGRycy9lMm9Eb2MueG1sUEsFBgAA&#10;AAAGAAYAWQEAAIgFAAAAAA==&#10;">
                <v:fill on="f" focussize="0,0"/>
                <v:stroke weight="1.5pt" color="#000000" joinstyle="round"/>
                <v:imagedata o:title=""/>
                <o:lock v:ext="edit" aspectratio="f"/>
              </v:line>
            </w:pict>
          </mc:Fallback>
        </mc:AlternateContent>
      </w:r>
      <w:r>
        <w:rPr>
          <w:rFonts w:hint="eastAsia" w:ascii="仿宋GB2312" w:hAnsi="仿宋GB2312" w:eastAsia="仿宋GB2312" w:cs="仿宋GB2312"/>
          <w:sz w:val="28"/>
          <w:szCs w:val="28"/>
        </w:rPr>
        <w:t>实验室与设备管理</w:t>
      </w:r>
      <w:r>
        <w:rPr>
          <w:rFonts w:hint="eastAsia" w:ascii="仿宋GB2312" w:hAnsi="仿宋GB2312" w:eastAsia="仿宋GB2312" w:cs="仿宋GB2312"/>
          <w:sz w:val="28"/>
          <w:szCs w:val="28"/>
          <w:lang w:val="en-US" w:eastAsia="zh-CN"/>
        </w:rPr>
        <w:t>处</w:t>
      </w:r>
      <w:r>
        <w:rPr>
          <w:rFonts w:ascii="仿宋_GB2312" w:eastAsia="仿宋_GB2312"/>
          <w:sz w:val="28"/>
          <w:szCs w:val="28"/>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20</w:t>
      </w:r>
      <w:r>
        <w:rPr>
          <w:rFonts w:hint="eastAsia" w:ascii="仿宋_GB2312" w:eastAsia="仿宋_GB2312"/>
          <w:sz w:val="28"/>
          <w:szCs w:val="28"/>
          <w:lang w:val="en-US" w:eastAsia="zh-CN"/>
        </w:rPr>
        <w:t>23</w:t>
      </w:r>
      <w:r>
        <w:rPr>
          <w:rFonts w:hint="eastAsia" w:ascii="仿宋_GB2312" w:eastAsia="仿宋_GB2312"/>
          <w:sz w:val="28"/>
          <w:szCs w:val="28"/>
        </w:rPr>
        <w:t>年</w:t>
      </w:r>
      <w:r>
        <w:rPr>
          <w:rFonts w:hint="eastAsia" w:ascii="仿宋_GB2312" w:eastAsia="仿宋_GB2312"/>
          <w:sz w:val="28"/>
          <w:szCs w:val="28"/>
          <w:lang w:val="en-US" w:eastAsia="zh-CN"/>
        </w:rPr>
        <w:t>2</w:t>
      </w:r>
      <w:r>
        <w:rPr>
          <w:rFonts w:hint="eastAsia" w:ascii="仿宋_GB2312" w:eastAsia="仿宋_GB2312"/>
          <w:sz w:val="28"/>
          <w:szCs w:val="28"/>
        </w:rPr>
        <w:t>月</w:t>
      </w:r>
      <w:r>
        <w:rPr>
          <w:rFonts w:hint="eastAsia" w:ascii="仿宋_GB2312" w:eastAsia="仿宋_GB2312"/>
          <w:sz w:val="28"/>
          <w:szCs w:val="28"/>
          <w:lang w:val="en-US" w:eastAsia="zh-CN"/>
        </w:rPr>
        <w:t>9</w:t>
      </w:r>
      <w:bookmarkStart w:id="2" w:name="_GoBack"/>
      <w:bookmarkEnd w:id="2"/>
      <w:r>
        <w:rPr>
          <w:rFonts w:hint="eastAsia" w:ascii="仿宋_GB2312" w:eastAsia="仿宋_GB2312"/>
          <w:sz w:val="28"/>
          <w:szCs w:val="28"/>
        </w:rPr>
        <w:t>日印发</w:t>
      </w:r>
      <w:r>
        <w:rPr>
          <w:rFonts w:hint="eastAsia" w:ascii="仿宋_GB2312" w:eastAsia="仿宋_GB2312"/>
          <w:sz w:val="28"/>
          <w:szCs w:val="28"/>
          <w:lang w:val="en-US" w:eastAsia="zh-CN"/>
        </w:rPr>
        <w:t xml:space="preserve">  </w:t>
      </w:r>
    </w:p>
    <w:p>
      <w:pPr>
        <w:tabs>
          <w:tab w:val="left" w:pos="7920"/>
        </w:tabs>
        <w:spacing w:line="540" w:lineRule="exact"/>
      </w:pPr>
      <w:r>
        <mc:AlternateContent>
          <mc:Choice Requires="wps">
            <w:drawing>
              <wp:anchor distT="0" distB="0" distL="114300" distR="114300" simplePos="0" relativeHeight="251662336" behindDoc="0" locked="0" layoutInCell="1" allowOverlap="1">
                <wp:simplePos x="0" y="0"/>
                <wp:positionH relativeFrom="column">
                  <wp:posOffset>-29210</wp:posOffset>
                </wp:positionH>
                <wp:positionV relativeFrom="paragraph">
                  <wp:posOffset>20955</wp:posOffset>
                </wp:positionV>
                <wp:extent cx="5674360" cy="7620"/>
                <wp:effectExtent l="0" t="0" r="0" b="0"/>
                <wp:wrapNone/>
                <wp:docPr id="2" name="直线 3"/>
                <wp:cNvGraphicFramePr/>
                <a:graphic xmlns:a="http://schemas.openxmlformats.org/drawingml/2006/main">
                  <a:graphicData uri="http://schemas.microsoft.com/office/word/2010/wordprocessingShape">
                    <wps:wsp>
                      <wps:cNvCnPr/>
                      <wps:spPr>
                        <a:xfrm flipV="1">
                          <a:off x="0" y="0"/>
                          <a:ext cx="5674360" cy="7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2.3pt;margin-top:1.65pt;height:0.6pt;width:446.8pt;z-index:251662336;mso-width-relative:page;mso-height-relative:page;" filled="f" stroked="t" coordsize="21600,21600" o:gfxdata="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yC0WNYAAAAGAQAADwAAAAAAAAABACAAAAAiAAAAZHJzL2Rvd25yZXYueG1sUEsBAhQA&#10;FAAAAAgAh07iQBSo6hz0AQAA6QMAAA4AAAAAAAAAAQAgAAAAJQEAAGRycy9lMm9Eb2MueG1sUEsF&#10;BgAAAAAGAAYAWQEAAIsFAAAAAA==&#10;">
                <v:fill on="f" focussize="0,0"/>
                <v:stroke weight="1.5pt" color="#000000" joinstyle="round"/>
                <v:imagedata o:title=""/>
                <o:lock v:ext="edit" aspectratio="f"/>
              </v:line>
            </w:pict>
          </mc:Fallback>
        </mc:AlternateContent>
      </w:r>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Style w:val="10"/>
                              <w:sz w:val="28"/>
                              <w:szCs w:val="28"/>
                            </w:rPr>
                          </w:pP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- 1 -</w:t>
                          </w:r>
                          <w:r>
                            <w:rPr>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XkrNIBAACjAwAADgAAAAAAAAABACAAAAAi&#10;AQAAZHJzL2Uyb0RvYy54bWxQSwUGAAAAAAYABgBZAQAAZgUAAAAA&#10;">
              <v:fill on="f" focussize="0,0"/>
              <v:stroke on="f" weight="1.25pt"/>
              <v:imagedata o:title=""/>
              <o:lock v:ext="edit" aspectratio="f"/>
              <v:textbox inset="0mm,0mm,0mm,0mm" style="mso-fit-shape-to-text:t;">
                <w:txbxContent>
                  <w:p>
                    <w:pPr>
                      <w:pStyle w:val="4"/>
                      <w:rPr>
                        <w:rStyle w:val="10"/>
                        <w:sz w:val="28"/>
                        <w:szCs w:val="28"/>
                      </w:rPr>
                    </w:pP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Mjk1NDQ2ZmQwODliNDc1YzhiOWI2NGU0MzlkY2UifQ=="/>
    <w:docVar w:name="KSO_WPS_MARK_KEY" w:val="796d5fe8-9e0e-4111-a5d3-841a2ceae507"/>
  </w:docVars>
  <w:rsids>
    <w:rsidRoot w:val="006D4707"/>
    <w:rsid w:val="0001763F"/>
    <w:rsid w:val="00027F32"/>
    <w:rsid w:val="0003623B"/>
    <w:rsid w:val="00037848"/>
    <w:rsid w:val="00062ECC"/>
    <w:rsid w:val="0008629D"/>
    <w:rsid w:val="000A7400"/>
    <w:rsid w:val="000C7A2A"/>
    <w:rsid w:val="000D49BD"/>
    <w:rsid w:val="001202A6"/>
    <w:rsid w:val="00124D32"/>
    <w:rsid w:val="00131B3C"/>
    <w:rsid w:val="001703AE"/>
    <w:rsid w:val="00176685"/>
    <w:rsid w:val="00191BE3"/>
    <w:rsid w:val="00193C38"/>
    <w:rsid w:val="00193D23"/>
    <w:rsid w:val="001C084A"/>
    <w:rsid w:val="00212094"/>
    <w:rsid w:val="00252E74"/>
    <w:rsid w:val="00284C21"/>
    <w:rsid w:val="0029363B"/>
    <w:rsid w:val="002B2A0C"/>
    <w:rsid w:val="00310946"/>
    <w:rsid w:val="00330AC4"/>
    <w:rsid w:val="003C542A"/>
    <w:rsid w:val="00450402"/>
    <w:rsid w:val="00466A6C"/>
    <w:rsid w:val="00481F97"/>
    <w:rsid w:val="004D4B32"/>
    <w:rsid w:val="00515404"/>
    <w:rsid w:val="00544B4F"/>
    <w:rsid w:val="005B1576"/>
    <w:rsid w:val="005F50C5"/>
    <w:rsid w:val="0062123A"/>
    <w:rsid w:val="00647FE3"/>
    <w:rsid w:val="0069243C"/>
    <w:rsid w:val="006B6E4F"/>
    <w:rsid w:val="006D4707"/>
    <w:rsid w:val="00701DD9"/>
    <w:rsid w:val="00722A65"/>
    <w:rsid w:val="007357AA"/>
    <w:rsid w:val="00765F85"/>
    <w:rsid w:val="0079701B"/>
    <w:rsid w:val="007A2695"/>
    <w:rsid w:val="00822759"/>
    <w:rsid w:val="00823817"/>
    <w:rsid w:val="0089599B"/>
    <w:rsid w:val="009057DA"/>
    <w:rsid w:val="009059A0"/>
    <w:rsid w:val="00917A4B"/>
    <w:rsid w:val="00971193"/>
    <w:rsid w:val="009778C7"/>
    <w:rsid w:val="00990DD6"/>
    <w:rsid w:val="0099587C"/>
    <w:rsid w:val="009A3F19"/>
    <w:rsid w:val="009E247D"/>
    <w:rsid w:val="00A13882"/>
    <w:rsid w:val="00A3341D"/>
    <w:rsid w:val="00B33636"/>
    <w:rsid w:val="00B4331E"/>
    <w:rsid w:val="00B85B73"/>
    <w:rsid w:val="00C042EA"/>
    <w:rsid w:val="00C50A53"/>
    <w:rsid w:val="00C9328E"/>
    <w:rsid w:val="00D272F8"/>
    <w:rsid w:val="00D37C54"/>
    <w:rsid w:val="00D65E63"/>
    <w:rsid w:val="00D83C25"/>
    <w:rsid w:val="00E3095C"/>
    <w:rsid w:val="00E31EE7"/>
    <w:rsid w:val="00E63FC1"/>
    <w:rsid w:val="00EA074D"/>
    <w:rsid w:val="00EC29CD"/>
    <w:rsid w:val="00EF2BC3"/>
    <w:rsid w:val="00F35C35"/>
    <w:rsid w:val="00F60F9B"/>
    <w:rsid w:val="00F819C2"/>
    <w:rsid w:val="00FA185F"/>
    <w:rsid w:val="00FA6B45"/>
    <w:rsid w:val="01180A5C"/>
    <w:rsid w:val="01B801F4"/>
    <w:rsid w:val="01F47039"/>
    <w:rsid w:val="02E17AB0"/>
    <w:rsid w:val="046823DA"/>
    <w:rsid w:val="04F95927"/>
    <w:rsid w:val="054E6F12"/>
    <w:rsid w:val="05E74EB5"/>
    <w:rsid w:val="06E53D4A"/>
    <w:rsid w:val="071B031B"/>
    <w:rsid w:val="0796457E"/>
    <w:rsid w:val="07D355AB"/>
    <w:rsid w:val="07F27CBF"/>
    <w:rsid w:val="07FE1E73"/>
    <w:rsid w:val="084D7178"/>
    <w:rsid w:val="093331C1"/>
    <w:rsid w:val="0A7A7043"/>
    <w:rsid w:val="0B995447"/>
    <w:rsid w:val="0CAF7751"/>
    <w:rsid w:val="0DF16BA4"/>
    <w:rsid w:val="108D4565"/>
    <w:rsid w:val="12121B4F"/>
    <w:rsid w:val="12374CB3"/>
    <w:rsid w:val="12667A99"/>
    <w:rsid w:val="130D7A03"/>
    <w:rsid w:val="138921C2"/>
    <w:rsid w:val="13AB6DD5"/>
    <w:rsid w:val="144F7831"/>
    <w:rsid w:val="14C65AD7"/>
    <w:rsid w:val="161D0664"/>
    <w:rsid w:val="177C1ED8"/>
    <w:rsid w:val="196A785A"/>
    <w:rsid w:val="19895017"/>
    <w:rsid w:val="1A047000"/>
    <w:rsid w:val="1B4F6A97"/>
    <w:rsid w:val="1B661514"/>
    <w:rsid w:val="1B776A68"/>
    <w:rsid w:val="1C656DB4"/>
    <w:rsid w:val="1ED213F1"/>
    <w:rsid w:val="1F781A4F"/>
    <w:rsid w:val="1FED72F9"/>
    <w:rsid w:val="20ED54D0"/>
    <w:rsid w:val="219C073F"/>
    <w:rsid w:val="222A555F"/>
    <w:rsid w:val="222B5197"/>
    <w:rsid w:val="2293628D"/>
    <w:rsid w:val="23535B9B"/>
    <w:rsid w:val="25B25764"/>
    <w:rsid w:val="25CD5C03"/>
    <w:rsid w:val="25EB1D29"/>
    <w:rsid w:val="26054BBA"/>
    <w:rsid w:val="26245ADE"/>
    <w:rsid w:val="26786C39"/>
    <w:rsid w:val="269B1F3A"/>
    <w:rsid w:val="28DD70F6"/>
    <w:rsid w:val="29BC0B25"/>
    <w:rsid w:val="29E838FF"/>
    <w:rsid w:val="2A5D68FB"/>
    <w:rsid w:val="2B8E1148"/>
    <w:rsid w:val="2C5C5B0A"/>
    <w:rsid w:val="2C811EB8"/>
    <w:rsid w:val="2D047420"/>
    <w:rsid w:val="2D8301B4"/>
    <w:rsid w:val="2E0608A9"/>
    <w:rsid w:val="2E3F5B1B"/>
    <w:rsid w:val="2E8C14E5"/>
    <w:rsid w:val="2EB067E0"/>
    <w:rsid w:val="2EF83EDC"/>
    <w:rsid w:val="2F447ED2"/>
    <w:rsid w:val="2F7E0852"/>
    <w:rsid w:val="301B3E17"/>
    <w:rsid w:val="30A1041D"/>
    <w:rsid w:val="31442DBA"/>
    <w:rsid w:val="31523460"/>
    <w:rsid w:val="32BE1420"/>
    <w:rsid w:val="342D4D6B"/>
    <w:rsid w:val="3431131D"/>
    <w:rsid w:val="345968B4"/>
    <w:rsid w:val="361B6A4E"/>
    <w:rsid w:val="36A135AA"/>
    <w:rsid w:val="36BD5820"/>
    <w:rsid w:val="38936179"/>
    <w:rsid w:val="3BE00D16"/>
    <w:rsid w:val="3BED558A"/>
    <w:rsid w:val="3CF02B86"/>
    <w:rsid w:val="3D3143C1"/>
    <w:rsid w:val="3D7F3488"/>
    <w:rsid w:val="3DE2791A"/>
    <w:rsid w:val="3E563143"/>
    <w:rsid w:val="3EBD5031"/>
    <w:rsid w:val="3F2A0CE5"/>
    <w:rsid w:val="3F7045DE"/>
    <w:rsid w:val="3F960CC2"/>
    <w:rsid w:val="3FB23AAC"/>
    <w:rsid w:val="407E13EB"/>
    <w:rsid w:val="43A055AB"/>
    <w:rsid w:val="450A5A20"/>
    <w:rsid w:val="4559660A"/>
    <w:rsid w:val="45833790"/>
    <w:rsid w:val="462B0BAC"/>
    <w:rsid w:val="462C4C8C"/>
    <w:rsid w:val="46724EDF"/>
    <w:rsid w:val="47434F40"/>
    <w:rsid w:val="498C3F4D"/>
    <w:rsid w:val="4B76718C"/>
    <w:rsid w:val="4BCD71F4"/>
    <w:rsid w:val="4C954009"/>
    <w:rsid w:val="4CEE02CD"/>
    <w:rsid w:val="4CF20B4C"/>
    <w:rsid w:val="4EB31CDC"/>
    <w:rsid w:val="4ECB51ED"/>
    <w:rsid w:val="50141827"/>
    <w:rsid w:val="502D00D8"/>
    <w:rsid w:val="50870DAB"/>
    <w:rsid w:val="50ED01D5"/>
    <w:rsid w:val="5132180E"/>
    <w:rsid w:val="51F95917"/>
    <w:rsid w:val="5382751C"/>
    <w:rsid w:val="54D270F6"/>
    <w:rsid w:val="55907385"/>
    <w:rsid w:val="559420E0"/>
    <w:rsid w:val="56BA4475"/>
    <w:rsid w:val="57A76DBE"/>
    <w:rsid w:val="588764CF"/>
    <w:rsid w:val="59271254"/>
    <w:rsid w:val="59437CC2"/>
    <w:rsid w:val="5A237A00"/>
    <w:rsid w:val="5B2975B6"/>
    <w:rsid w:val="5BA83920"/>
    <w:rsid w:val="5C4651BA"/>
    <w:rsid w:val="5D0A6D97"/>
    <w:rsid w:val="5EE2487D"/>
    <w:rsid w:val="5FEE5FA9"/>
    <w:rsid w:val="5FF10053"/>
    <w:rsid w:val="62B76F3C"/>
    <w:rsid w:val="6308178D"/>
    <w:rsid w:val="63747D84"/>
    <w:rsid w:val="63A66CE3"/>
    <w:rsid w:val="645B1263"/>
    <w:rsid w:val="647771AE"/>
    <w:rsid w:val="652340CF"/>
    <w:rsid w:val="65B25666"/>
    <w:rsid w:val="65CB1E86"/>
    <w:rsid w:val="66385942"/>
    <w:rsid w:val="66D679AD"/>
    <w:rsid w:val="66E266B6"/>
    <w:rsid w:val="684706E8"/>
    <w:rsid w:val="68681E98"/>
    <w:rsid w:val="6AC669EA"/>
    <w:rsid w:val="6B6F018F"/>
    <w:rsid w:val="6BAD0C0C"/>
    <w:rsid w:val="6BB30D04"/>
    <w:rsid w:val="6C690FC3"/>
    <w:rsid w:val="6CB130F0"/>
    <w:rsid w:val="6CF84CEC"/>
    <w:rsid w:val="6D261430"/>
    <w:rsid w:val="6D695811"/>
    <w:rsid w:val="6DA80F15"/>
    <w:rsid w:val="702F613F"/>
    <w:rsid w:val="7120647C"/>
    <w:rsid w:val="71A0489C"/>
    <w:rsid w:val="71BE15F0"/>
    <w:rsid w:val="71EF1426"/>
    <w:rsid w:val="72113D4E"/>
    <w:rsid w:val="724A3704"/>
    <w:rsid w:val="725712A6"/>
    <w:rsid w:val="72675CDA"/>
    <w:rsid w:val="727226CC"/>
    <w:rsid w:val="72AB52FB"/>
    <w:rsid w:val="72EB66DE"/>
    <w:rsid w:val="72FB4EC1"/>
    <w:rsid w:val="73080081"/>
    <w:rsid w:val="73517B98"/>
    <w:rsid w:val="73BC68FD"/>
    <w:rsid w:val="74F50C96"/>
    <w:rsid w:val="74FE444F"/>
    <w:rsid w:val="75635FA7"/>
    <w:rsid w:val="7583692D"/>
    <w:rsid w:val="76BD571B"/>
    <w:rsid w:val="778C7AA7"/>
    <w:rsid w:val="77AE3112"/>
    <w:rsid w:val="78C138EE"/>
    <w:rsid w:val="790668C1"/>
    <w:rsid w:val="79077516"/>
    <w:rsid w:val="79CF22B4"/>
    <w:rsid w:val="7A125641"/>
    <w:rsid w:val="7AB068EA"/>
    <w:rsid w:val="7B956906"/>
    <w:rsid w:val="7DD56578"/>
    <w:rsid w:val="7E8B1ECF"/>
    <w:rsid w:val="7FAE52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0"/>
      <w:szCs w:val="20"/>
    </w:rPr>
  </w:style>
  <w:style w:type="paragraph" w:styleId="3">
    <w:name w:val="Body Text"/>
    <w:basedOn w:val="1"/>
    <w:qFormat/>
    <w:uiPriority w:val="1"/>
    <w:rPr>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paragraph" w:customStyle="1" w:styleId="12">
    <w:name w:val="发文字号"/>
    <w:basedOn w:val="1"/>
    <w:qFormat/>
    <w:uiPriority w:val="0"/>
    <w:pPr>
      <w:jc w:val="center"/>
    </w:pPr>
    <w:rPr>
      <w:rFonts w:ascii="仿宋" w:hAnsi="仿宋" w:eastAsia="仿宋"/>
      <w:sz w:val="30"/>
      <w:szCs w:val="30"/>
    </w:rPr>
  </w:style>
  <w:style w:type="paragraph" w:customStyle="1" w:styleId="13">
    <w:name w:val="红头发文机关标识"/>
    <w:basedOn w:val="1"/>
    <w:qFormat/>
    <w:uiPriority w:val="0"/>
    <w:pPr>
      <w:spacing w:before="1418"/>
      <w:jc w:val="center"/>
    </w:pPr>
    <w:rPr>
      <w:rFonts w:ascii="宋体" w:hAnsi="宋体"/>
      <w:b/>
      <w:color w:val="FF0000"/>
      <w:spacing w:val="80"/>
      <w:w w:val="88"/>
      <w:sz w:val="96"/>
      <w:szCs w:val="4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4</Pages>
  <Words>1808</Words>
  <Characters>1857</Characters>
  <Lines>6</Lines>
  <Paragraphs>1</Paragraphs>
  <TotalTime>7</TotalTime>
  <ScaleCrop>false</ScaleCrop>
  <LinksUpToDate>false</LinksUpToDate>
  <CharactersWithSpaces>1897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2018-06-28T03:22:00Z</dcterms:created>
  <dc:creator>Windows 用户</dc:creator>
  <cp:lastModifiedBy>翡冷翠</cp:lastModifiedBy>
  <cp:lastPrinted>2022-08-26T02:31:00Z</cp:lastPrinted>
  <dcterms:modified xsi:type="dcterms:W3CDTF">2023-02-10T02:04:42Z</dcterms:modified>
  <dc:title>关于评选2015年泉州师范学院优秀教师、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EFF303A9E5624D08A3728C78E437E5A3</vt:lpwstr>
  </property>
</Properties>
</file>