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hAnsi="宋体" w:eastAsia="宋体" w:cs="宋体"/>
          <w:b/>
          <w:bCs/>
          <w:kern w:val="0"/>
          <w:sz w:val="13"/>
          <w:szCs w:val="13"/>
          <w:highlight w:val="none"/>
        </w:rPr>
      </w:pPr>
    </w:p>
    <w:p>
      <w:pPr>
        <w:widowControl/>
        <w:spacing w:before="75" w:after="75"/>
        <w:jc w:val="center"/>
        <w:rPr>
          <w:rFonts w:ascii="宋体" w:hAnsi="宋体" w:eastAsia="宋体" w:cs="宋体"/>
          <w:b/>
          <w:bCs/>
          <w:kern w:val="0"/>
          <w:sz w:val="72"/>
          <w:highlight w:val="none"/>
        </w:rPr>
      </w:pPr>
      <w:r>
        <w:rPr>
          <w:rFonts w:hint="eastAsia" w:ascii="宋体" w:hAnsi="宋体" w:eastAsia="宋体" w:cs="宋体"/>
          <w:b/>
          <w:bCs/>
          <w:kern w:val="0"/>
          <w:sz w:val="72"/>
          <w:highlight w:val="none"/>
        </w:rPr>
        <w:t>泉州师范学院</w:t>
      </w:r>
    </w:p>
    <w:p>
      <w:pPr>
        <w:widowControl/>
        <w:spacing w:before="75" w:after="75"/>
        <w:jc w:val="center"/>
        <w:rPr>
          <w:rFonts w:ascii="宋体" w:hAnsi="宋体" w:eastAsia="宋体" w:cs="宋体"/>
          <w:kern w:val="0"/>
          <w:sz w:val="24"/>
          <w:szCs w:val="24"/>
          <w:highlight w:val="none"/>
        </w:rPr>
      </w:pPr>
      <w:r>
        <w:rPr>
          <w:rFonts w:ascii="宋体" w:hAnsi="宋体" w:eastAsia="宋体" w:cs="宋体"/>
          <w:b/>
          <w:bCs/>
          <w:kern w:val="0"/>
          <w:sz w:val="72"/>
          <w:highlight w:val="none"/>
        </w:rPr>
        <w:t>竞争性谈判文件</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b/>
          <w:bCs/>
          <w:kern w:val="0"/>
          <w:sz w:val="24"/>
          <w:szCs w:val="24"/>
          <w:highlight w:val="none"/>
        </w:rPr>
      </w:pPr>
      <w:r>
        <w:rPr>
          <w:rFonts w:ascii="宋体" w:hAnsi="宋体" w:eastAsia="宋体" w:cs="宋体"/>
          <w:b/>
          <w:bCs/>
          <w:kern w:val="0"/>
          <w:sz w:val="24"/>
          <w:szCs w:val="24"/>
          <w:highlight w:val="none"/>
        </w:rPr>
        <w:t> </w:t>
      </w:r>
    </w:p>
    <w:p>
      <w:pPr>
        <w:widowControl/>
        <w:spacing w:before="75" w:after="75"/>
        <w:jc w:val="left"/>
        <w:rPr>
          <w:rFonts w:ascii="宋体" w:hAnsi="宋体" w:eastAsia="宋体" w:cs="宋体"/>
          <w:b/>
          <w:bCs/>
          <w:kern w:val="0"/>
          <w:sz w:val="24"/>
          <w:szCs w:val="24"/>
          <w:highlight w:val="none"/>
        </w:rPr>
      </w:pP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spacing w:line="360" w:lineRule="auto"/>
        <w:jc w:val="center"/>
        <w:rPr>
          <w:rFonts w:ascii="宋体" w:hAnsi="宋体" w:eastAsia="宋体" w:cs="宋体"/>
          <w:b/>
          <w:bCs/>
          <w:kern w:val="0"/>
          <w:sz w:val="30"/>
          <w:highlight w:val="none"/>
        </w:rPr>
      </w:pPr>
      <w:r>
        <w:rPr>
          <w:rFonts w:ascii="宋体" w:hAnsi="宋体" w:eastAsia="宋体" w:cs="宋体"/>
          <w:b/>
          <w:bCs/>
          <w:kern w:val="0"/>
          <w:sz w:val="30"/>
          <w:highlight w:val="none"/>
        </w:rPr>
        <w:t> 项目名称：</w:t>
      </w:r>
      <w:r>
        <w:rPr>
          <w:rFonts w:hint="eastAsia" w:ascii="宋体" w:hAnsi="宋体" w:eastAsia="宋体" w:cs="宋体"/>
          <w:b/>
          <w:bCs/>
          <w:kern w:val="0"/>
          <w:sz w:val="30"/>
          <w:highlight w:val="none"/>
        </w:rPr>
        <w:t>泉州师范学院化工与材料学院实验室通风系统采购项目</w:t>
      </w:r>
    </w:p>
    <w:p>
      <w:pPr>
        <w:widowControl/>
        <w:spacing w:before="75" w:after="75"/>
        <w:jc w:val="center"/>
        <w:rPr>
          <w:rFonts w:ascii="宋体" w:hAnsi="宋体" w:eastAsia="宋体" w:cs="宋体"/>
          <w:kern w:val="0"/>
          <w:sz w:val="24"/>
          <w:szCs w:val="24"/>
          <w:highlight w:val="none"/>
        </w:rPr>
      </w:pPr>
      <w:r>
        <w:rPr>
          <w:rFonts w:ascii="宋体" w:hAnsi="宋体" w:eastAsia="宋体" w:cs="宋体"/>
          <w:b/>
          <w:bCs/>
          <w:kern w:val="0"/>
          <w:sz w:val="30"/>
          <w:highlight w:val="none"/>
        </w:rPr>
        <w:t>项目编号：</w:t>
      </w:r>
      <w:r>
        <w:rPr>
          <w:rFonts w:hint="eastAsia" w:ascii="宋体" w:hAnsi="宋体" w:eastAsia="宋体" w:cs="宋体"/>
          <w:b/>
          <w:bCs/>
          <w:kern w:val="0"/>
          <w:sz w:val="30"/>
          <w:highlight w:val="none"/>
        </w:rPr>
        <w:t>FJFS2021013</w:t>
      </w:r>
    </w:p>
    <w:p>
      <w:pPr>
        <w:widowControl/>
        <w:spacing w:before="75" w:after="75"/>
        <w:ind w:firstLine="1050"/>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jc w:val="center"/>
        <w:rPr>
          <w:rFonts w:ascii="宋体" w:hAnsi="宋体" w:eastAsia="宋体" w:cs="宋体"/>
          <w:b/>
          <w:bCs/>
          <w:kern w:val="0"/>
          <w:sz w:val="30"/>
          <w:highlight w:val="none"/>
        </w:rPr>
      </w:pPr>
      <w:r>
        <w:rPr>
          <w:rFonts w:ascii="宋体" w:hAnsi="宋体" w:eastAsia="宋体" w:cs="宋体"/>
          <w:b/>
          <w:bCs/>
          <w:kern w:val="0"/>
          <w:sz w:val="30"/>
          <w:highlight w:val="none"/>
        </w:rPr>
        <w:t> </w:t>
      </w:r>
    </w:p>
    <w:p>
      <w:pPr>
        <w:widowControl/>
        <w:spacing w:before="75" w:after="75"/>
        <w:rPr>
          <w:rFonts w:ascii="宋体" w:hAnsi="宋体" w:eastAsia="宋体" w:cs="宋体"/>
          <w:b/>
          <w:bCs/>
          <w:kern w:val="0"/>
          <w:sz w:val="30"/>
          <w:highlight w:val="none"/>
        </w:rPr>
      </w:pPr>
    </w:p>
    <w:p>
      <w:pPr>
        <w:widowControl/>
        <w:spacing w:before="75" w:after="75"/>
        <w:jc w:val="center"/>
        <w:rPr>
          <w:rFonts w:ascii="宋体" w:hAnsi="宋体" w:eastAsia="宋体" w:cs="宋体"/>
          <w:b/>
          <w:bCs/>
          <w:kern w:val="0"/>
          <w:sz w:val="30"/>
          <w:highlight w:val="none"/>
        </w:rPr>
      </w:pPr>
    </w:p>
    <w:p>
      <w:pPr>
        <w:widowControl/>
        <w:spacing w:before="75" w:after="75"/>
        <w:jc w:val="center"/>
        <w:rPr>
          <w:rFonts w:ascii="宋体" w:hAnsi="宋体" w:eastAsia="宋体" w:cs="宋体"/>
          <w:b/>
          <w:bCs/>
          <w:kern w:val="0"/>
          <w:sz w:val="30"/>
          <w:highlight w:val="none"/>
        </w:rPr>
      </w:pPr>
      <w:r>
        <w:rPr>
          <w:rFonts w:hint="eastAsia" w:ascii="宋体" w:hAnsi="宋体" w:eastAsia="宋体" w:cs="宋体"/>
          <w:b/>
          <w:bCs/>
          <w:kern w:val="0"/>
          <w:sz w:val="30"/>
          <w:highlight w:val="none"/>
        </w:rPr>
        <w:t>采购人：</w:t>
      </w:r>
      <w:r>
        <w:rPr>
          <w:rFonts w:hint="eastAsia" w:eastAsia="宋体"/>
          <w:b/>
          <w:bCs/>
          <w:sz w:val="32"/>
          <w:szCs w:val="32"/>
          <w:highlight w:val="none"/>
        </w:rPr>
        <w:t>泉州师范学院</w:t>
      </w:r>
    </w:p>
    <w:p>
      <w:pPr>
        <w:widowControl/>
        <w:spacing w:before="75" w:after="75"/>
        <w:jc w:val="center"/>
        <w:rPr>
          <w:rFonts w:ascii="宋体" w:hAnsi="宋体" w:eastAsia="宋体" w:cs="宋体"/>
          <w:b/>
          <w:bCs/>
          <w:kern w:val="0"/>
          <w:sz w:val="30"/>
          <w:highlight w:val="none"/>
        </w:rPr>
      </w:pPr>
      <w:r>
        <w:rPr>
          <w:rFonts w:hint="eastAsia" w:ascii="宋体" w:hAnsi="宋体" w:eastAsia="宋体" w:cs="宋体"/>
          <w:b/>
          <w:bCs/>
          <w:kern w:val="0"/>
          <w:sz w:val="30"/>
          <w:highlight w:val="none"/>
        </w:rPr>
        <w:t>代理机构：</w:t>
      </w:r>
      <w:r>
        <w:rPr>
          <w:rFonts w:ascii="宋体" w:hAnsi="宋体" w:eastAsia="宋体" w:cs="宋体"/>
          <w:b/>
          <w:bCs/>
          <w:kern w:val="0"/>
          <w:sz w:val="30"/>
          <w:highlight w:val="none"/>
        </w:rPr>
        <w:t>福建</w:t>
      </w:r>
      <w:r>
        <w:rPr>
          <w:rFonts w:hint="eastAsia" w:ascii="宋体" w:hAnsi="宋体" w:eastAsia="宋体" w:cs="宋体"/>
          <w:b/>
          <w:bCs/>
          <w:kern w:val="0"/>
          <w:sz w:val="30"/>
          <w:highlight w:val="none"/>
        </w:rPr>
        <w:t>丰盛项目管理</w:t>
      </w:r>
      <w:r>
        <w:rPr>
          <w:rFonts w:ascii="宋体" w:hAnsi="宋体" w:eastAsia="宋体" w:cs="宋体"/>
          <w:b/>
          <w:bCs/>
          <w:kern w:val="0"/>
          <w:sz w:val="30"/>
          <w:highlight w:val="none"/>
        </w:rPr>
        <w:t>有限公司</w:t>
      </w:r>
    </w:p>
    <w:p>
      <w:pPr>
        <w:widowControl/>
        <w:spacing w:before="75" w:after="75"/>
        <w:jc w:val="center"/>
        <w:rPr>
          <w:rFonts w:ascii="宋体" w:hAnsi="宋体" w:eastAsia="宋体" w:cs="宋体"/>
          <w:b/>
          <w:bCs/>
          <w:kern w:val="0"/>
          <w:sz w:val="30"/>
          <w:highlight w:val="none"/>
        </w:rPr>
      </w:pPr>
    </w:p>
    <w:p>
      <w:pPr>
        <w:widowControl/>
        <w:spacing w:before="75" w:after="75"/>
        <w:jc w:val="center"/>
        <w:rPr>
          <w:rFonts w:ascii="宋体" w:hAnsi="宋体" w:eastAsia="宋体" w:cs="宋体"/>
          <w:kern w:val="0"/>
          <w:sz w:val="24"/>
          <w:szCs w:val="24"/>
          <w:highlight w:val="none"/>
        </w:rPr>
      </w:pPr>
      <w:r>
        <w:rPr>
          <w:rFonts w:ascii="宋体" w:hAnsi="宋体" w:eastAsia="宋体" w:cs="宋体"/>
          <w:b/>
          <w:bCs/>
          <w:kern w:val="0"/>
          <w:sz w:val="30"/>
          <w:highlight w:val="none"/>
        </w:rPr>
        <w:t> 20</w:t>
      </w:r>
      <w:r>
        <w:rPr>
          <w:rFonts w:hint="eastAsia" w:ascii="宋体" w:hAnsi="宋体" w:eastAsia="宋体" w:cs="宋体"/>
          <w:b/>
          <w:bCs/>
          <w:kern w:val="0"/>
          <w:sz w:val="30"/>
          <w:highlight w:val="none"/>
        </w:rPr>
        <w:t>21</w:t>
      </w:r>
      <w:r>
        <w:rPr>
          <w:rFonts w:ascii="宋体" w:hAnsi="宋体" w:eastAsia="宋体" w:cs="宋体"/>
          <w:b/>
          <w:bCs/>
          <w:kern w:val="0"/>
          <w:sz w:val="30"/>
          <w:highlight w:val="none"/>
        </w:rPr>
        <w:t>年</w:t>
      </w:r>
      <w:r>
        <w:rPr>
          <w:rFonts w:hint="eastAsia" w:ascii="宋体" w:hAnsi="宋体" w:eastAsia="宋体" w:cs="宋体"/>
          <w:b/>
          <w:bCs/>
          <w:kern w:val="0"/>
          <w:sz w:val="30"/>
          <w:highlight w:val="none"/>
        </w:rPr>
        <w:t>5</w:t>
      </w:r>
      <w:r>
        <w:rPr>
          <w:rFonts w:ascii="宋体" w:hAnsi="宋体" w:eastAsia="宋体" w:cs="宋体"/>
          <w:b/>
          <w:bCs/>
          <w:kern w:val="0"/>
          <w:sz w:val="30"/>
          <w:highlight w:val="none"/>
        </w:rPr>
        <w:t>月</w:t>
      </w:r>
    </w:p>
    <w:p>
      <w:pPr>
        <w:widowControl/>
        <w:spacing w:before="75" w:after="75"/>
        <w:jc w:val="center"/>
        <w:rPr>
          <w:rFonts w:ascii="宋体" w:hAnsi="宋体" w:eastAsia="宋体" w:cs="宋体"/>
          <w:kern w:val="0"/>
          <w:sz w:val="24"/>
          <w:szCs w:val="24"/>
          <w:highlight w:val="none"/>
        </w:rPr>
      </w:pPr>
    </w:p>
    <w:p>
      <w:pPr>
        <w:widowControl/>
        <w:spacing w:before="75" w:after="75"/>
        <w:jc w:val="left"/>
        <w:rPr>
          <w:rFonts w:ascii="宋体" w:hAnsi="宋体" w:eastAsia="宋体" w:cs="宋体"/>
          <w:kern w:val="0"/>
          <w:sz w:val="24"/>
          <w:szCs w:val="24"/>
          <w:highlight w:val="none"/>
        </w:rPr>
        <w:sectPr>
          <w:headerReference r:id="rId3" w:type="default"/>
          <w:pgSz w:w="11906" w:h="16838"/>
          <w:pgMar w:top="1440" w:right="1474" w:bottom="1440" w:left="1474" w:header="851" w:footer="992" w:gutter="0"/>
          <w:cols w:space="0" w:num="1"/>
          <w:docGrid w:type="lines" w:linePitch="312" w:charSpace="0"/>
        </w:sectPr>
      </w:pPr>
    </w:p>
    <w:p>
      <w:pPr>
        <w:widowControl/>
        <w:spacing w:before="75" w:after="75"/>
        <w:jc w:val="left"/>
        <w:rPr>
          <w:rFonts w:ascii="宋体" w:hAnsi="宋体" w:eastAsia="宋体" w:cs="宋体"/>
          <w:kern w:val="0"/>
          <w:sz w:val="24"/>
          <w:szCs w:val="24"/>
          <w:highlight w:val="none"/>
        </w:rPr>
      </w:pPr>
    </w:p>
    <w:p>
      <w:pPr>
        <w:widowControl/>
        <w:spacing w:before="75" w:after="75"/>
        <w:jc w:val="center"/>
        <w:outlineLvl w:val="0"/>
        <w:rPr>
          <w:rFonts w:ascii="宋体" w:hAnsi="宋体" w:eastAsia="宋体" w:cs="宋体"/>
          <w:kern w:val="0"/>
          <w:sz w:val="24"/>
          <w:szCs w:val="24"/>
          <w:highlight w:val="none"/>
        </w:rPr>
      </w:pPr>
      <w:r>
        <w:rPr>
          <w:rFonts w:ascii="宋体" w:hAnsi="宋体" w:eastAsia="宋体" w:cs="宋体"/>
          <w:b/>
          <w:bCs/>
          <w:kern w:val="0"/>
          <w:sz w:val="44"/>
          <w:highlight w:val="none"/>
        </w:rPr>
        <w:t>第一章  采购公告/采购邀请书</w:t>
      </w:r>
    </w:p>
    <w:p>
      <w:pPr>
        <w:widowControl/>
        <w:spacing w:before="75" w:after="75"/>
        <w:jc w:val="center"/>
        <w:rPr>
          <w:rFonts w:ascii="宋体" w:hAnsi="宋体" w:eastAsia="宋体" w:cs="宋体"/>
          <w:kern w:val="0"/>
          <w:sz w:val="24"/>
          <w:szCs w:val="24"/>
          <w:highlight w:val="none"/>
        </w:rPr>
      </w:pPr>
      <w:r>
        <w:rPr>
          <w:rFonts w:ascii="宋体" w:hAnsi="宋体" w:eastAsia="宋体" w:cs="宋体"/>
          <w:b/>
          <w:bCs/>
          <w:kern w:val="0"/>
          <w:sz w:val="44"/>
          <w:highlight w:val="none"/>
        </w:rPr>
        <w:t>            </w:t>
      </w:r>
    </w:p>
    <w:p>
      <w:pPr>
        <w:widowControl/>
        <w:spacing w:before="75" w:after="75"/>
        <w:jc w:val="center"/>
        <w:outlineLvl w:val="1"/>
        <w:rPr>
          <w:rFonts w:ascii="宋体" w:hAnsi="宋体" w:eastAsia="宋体" w:cs="宋体"/>
          <w:kern w:val="0"/>
          <w:sz w:val="24"/>
          <w:szCs w:val="24"/>
          <w:highlight w:val="none"/>
        </w:rPr>
      </w:pPr>
      <w:r>
        <w:rPr>
          <w:rFonts w:ascii="宋体" w:hAnsi="宋体" w:eastAsia="宋体" w:cs="宋体"/>
          <w:b/>
          <w:bCs/>
          <w:kern w:val="0"/>
          <w:sz w:val="44"/>
          <w:highlight w:val="none"/>
        </w:rPr>
        <w:t>竞争性谈判采购公告</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ind w:firstLine="7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泉州师范学院</w:t>
      </w:r>
      <w:r>
        <w:rPr>
          <w:rFonts w:ascii="宋体" w:hAnsi="宋体" w:eastAsia="宋体" w:cs="宋体"/>
          <w:kern w:val="0"/>
          <w:sz w:val="24"/>
          <w:szCs w:val="24"/>
          <w:highlight w:val="none"/>
        </w:rPr>
        <w:t>已根据政府采购相关法律法规，经相应程序确定采用 </w:t>
      </w:r>
      <w:r>
        <w:rPr>
          <w:rFonts w:ascii="宋体" w:hAnsi="宋体" w:eastAsia="宋体" w:cs="宋体"/>
          <w:b/>
          <w:bCs/>
          <w:kern w:val="0"/>
          <w:sz w:val="24"/>
          <w:szCs w:val="24"/>
          <w:highlight w:val="none"/>
        </w:rPr>
        <w:t>竞争性谈判</w:t>
      </w:r>
      <w:r>
        <w:rPr>
          <w:rFonts w:hint="eastAsia" w:ascii="宋体" w:hAnsi="宋体" w:eastAsia="宋体" w:cs="宋体"/>
          <w:b/>
          <w:bCs/>
          <w:kern w:val="0"/>
          <w:sz w:val="24"/>
          <w:szCs w:val="24"/>
          <w:highlight w:val="none"/>
        </w:rPr>
        <w:t xml:space="preserve"> </w:t>
      </w:r>
      <w:r>
        <w:rPr>
          <w:rFonts w:ascii="宋体" w:hAnsi="宋体" w:eastAsia="宋体" w:cs="宋体"/>
          <w:kern w:val="0"/>
          <w:sz w:val="24"/>
          <w:szCs w:val="24"/>
          <w:highlight w:val="none"/>
        </w:rPr>
        <w:t>方式组织</w:t>
      </w:r>
      <w:r>
        <w:rPr>
          <w:rFonts w:hint="eastAsia" w:ascii="宋体" w:hAnsi="宋体" w:eastAsia="宋体" w:cs="宋体"/>
          <w:kern w:val="0"/>
          <w:sz w:val="24"/>
          <w:szCs w:val="24"/>
          <w:highlight w:val="none"/>
        </w:rPr>
        <w:t>泉州师范学院化工与材料学院实验室通风系统采购项目</w:t>
      </w:r>
      <w:r>
        <w:rPr>
          <w:rFonts w:ascii="宋体" w:hAnsi="宋体" w:eastAsia="宋体" w:cs="宋体"/>
          <w:kern w:val="0"/>
          <w:sz w:val="24"/>
          <w:szCs w:val="24"/>
          <w:highlight w:val="none"/>
        </w:rPr>
        <w:t>（以下简称：“本项目”）的采购活动，现欢迎国内合格的供应商前来参加。本项目由采购人委托福建</w:t>
      </w:r>
      <w:r>
        <w:rPr>
          <w:rFonts w:hint="eastAsia" w:ascii="宋体" w:hAnsi="宋体" w:eastAsia="宋体" w:cs="宋体"/>
          <w:kern w:val="0"/>
          <w:sz w:val="24"/>
          <w:szCs w:val="24"/>
          <w:highlight w:val="none"/>
        </w:rPr>
        <w:t>丰盛项目管理</w:t>
      </w:r>
      <w:r>
        <w:rPr>
          <w:rFonts w:ascii="宋体" w:hAnsi="宋体" w:eastAsia="宋体" w:cs="宋体"/>
          <w:kern w:val="0"/>
          <w:sz w:val="24"/>
          <w:szCs w:val="24"/>
          <w:highlight w:val="none"/>
        </w:rPr>
        <w:t>有限公司开展竞争性谈判活动。</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shd w:val="clear" w:color="auto" w:fill="FFFFFF"/>
        </w:rPr>
        <w:t> 1.项目名称：</w:t>
      </w:r>
      <w:r>
        <w:rPr>
          <w:rFonts w:hint="eastAsia" w:ascii="宋体" w:hAnsi="宋体" w:eastAsia="宋体" w:cs="宋体"/>
          <w:kern w:val="0"/>
          <w:sz w:val="24"/>
          <w:szCs w:val="24"/>
          <w:highlight w:val="none"/>
          <w:shd w:val="clear" w:color="auto" w:fill="FFFFFF"/>
        </w:rPr>
        <w:t>泉州师范学院化工与材料学院实验室通风系统采购项目</w:t>
      </w:r>
    </w:p>
    <w:p>
      <w:pPr>
        <w:widowControl/>
        <w:spacing w:before="75" w:after="75" w:line="435" w:lineRule="atLeast"/>
        <w:ind w:firstLine="240" w:firstLineChars="1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shd w:val="clear" w:color="auto" w:fill="FFFFFF"/>
        </w:rPr>
        <w:t>2</w:t>
      </w:r>
      <w:r>
        <w:rPr>
          <w:rFonts w:ascii="宋体" w:hAnsi="宋体" w:eastAsia="宋体" w:cs="宋体"/>
          <w:kern w:val="0"/>
          <w:sz w:val="24"/>
          <w:szCs w:val="24"/>
          <w:highlight w:val="none"/>
          <w:shd w:val="clear" w:color="auto" w:fill="FFFFFF"/>
        </w:rPr>
        <w:t>.项目编号：</w:t>
      </w:r>
      <w:r>
        <w:rPr>
          <w:rFonts w:hint="eastAsia" w:ascii="宋体" w:hAnsi="宋体" w:eastAsia="宋体" w:cs="宋体"/>
          <w:kern w:val="0"/>
          <w:sz w:val="24"/>
          <w:szCs w:val="24"/>
          <w:highlight w:val="none"/>
          <w:shd w:val="clear" w:color="auto" w:fill="FFFFFF"/>
        </w:rPr>
        <w:t>FJFS2021013</w:t>
      </w:r>
      <w:r>
        <w:rPr>
          <w:rFonts w:ascii="宋体" w:hAnsi="宋体" w:eastAsia="宋体" w:cs="宋体"/>
          <w:kern w:val="0"/>
          <w:sz w:val="24"/>
          <w:szCs w:val="24"/>
          <w:highlight w:val="none"/>
        </w:rPr>
        <w:t xml:space="preserve">  </w:t>
      </w:r>
    </w:p>
    <w:p>
      <w:pPr>
        <w:widowControl/>
        <w:spacing w:before="75" w:after="75" w:line="435" w:lineRule="atLeast"/>
        <w:ind w:firstLine="240" w:firstLineChars="1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ascii="宋体" w:hAnsi="宋体" w:eastAsia="宋体" w:cs="宋体"/>
          <w:kern w:val="0"/>
          <w:sz w:val="24"/>
          <w:szCs w:val="24"/>
          <w:highlight w:val="none"/>
        </w:rPr>
        <w:t>.采购内容及要求：</w:t>
      </w:r>
    </w:p>
    <w:p>
      <w:pPr>
        <w:widowControl/>
        <w:spacing w:before="100" w:beforeAutospacing="1" w:after="100" w:afterAutospacing="1"/>
        <w:jc w:val="right"/>
        <w:rPr>
          <w:rFonts w:ascii="宋体" w:hAnsi="宋体" w:eastAsia="宋体" w:cs="宋体"/>
          <w:kern w:val="0"/>
          <w:sz w:val="24"/>
          <w:szCs w:val="24"/>
          <w:highlight w:val="none"/>
        </w:rPr>
      </w:pPr>
      <w:r>
        <w:rPr>
          <w:rFonts w:ascii="宋体" w:hAnsi="宋体" w:eastAsia="宋体" w:cs="宋体"/>
          <w:kern w:val="0"/>
          <w:sz w:val="24"/>
          <w:szCs w:val="24"/>
          <w:highlight w:val="none"/>
        </w:rPr>
        <w:t>金额单位：人民币元</w:t>
      </w:r>
    </w:p>
    <w:tbl>
      <w:tblPr>
        <w:tblStyle w:val="10"/>
        <w:tblW w:w="883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6"/>
        <w:gridCol w:w="832"/>
        <w:gridCol w:w="2145"/>
        <w:gridCol w:w="1050"/>
        <w:gridCol w:w="1320"/>
        <w:gridCol w:w="1245"/>
        <w:gridCol w:w="13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7" w:hRule="atLeast"/>
          <w:tblHeader/>
        </w:trPr>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highlight w:val="none"/>
              </w:rPr>
            </w:pPr>
            <w:r>
              <w:rPr>
                <w:rFonts w:ascii="宋体" w:hAnsi="宋体" w:eastAsia="宋体" w:cs="宋体"/>
                <w:b/>
                <w:kern w:val="0"/>
                <w:sz w:val="24"/>
                <w:szCs w:val="24"/>
                <w:highlight w:val="none"/>
              </w:rPr>
              <w:t>合同包</w:t>
            </w: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highlight w:val="none"/>
              </w:rPr>
            </w:pPr>
            <w:r>
              <w:rPr>
                <w:rFonts w:ascii="宋体" w:hAnsi="宋体" w:eastAsia="宋体" w:cs="宋体"/>
                <w:b/>
                <w:kern w:val="0"/>
                <w:sz w:val="24"/>
                <w:szCs w:val="24"/>
                <w:highlight w:val="none"/>
              </w:rPr>
              <w:t>品目号</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highlight w:val="none"/>
              </w:rPr>
            </w:pPr>
            <w:r>
              <w:rPr>
                <w:rFonts w:ascii="宋体" w:hAnsi="宋体" w:eastAsia="宋体" w:cs="宋体"/>
                <w:b/>
                <w:kern w:val="0"/>
                <w:sz w:val="24"/>
                <w:szCs w:val="24"/>
                <w:highlight w:val="none"/>
              </w:rPr>
              <w:t>采购标的</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highlight w:val="none"/>
              </w:rPr>
            </w:pPr>
            <w:r>
              <w:rPr>
                <w:rFonts w:ascii="宋体" w:hAnsi="宋体" w:eastAsia="宋体" w:cs="宋体"/>
                <w:b/>
                <w:kern w:val="0"/>
                <w:sz w:val="24"/>
                <w:szCs w:val="24"/>
                <w:highlight w:val="none"/>
              </w:rPr>
              <w:t>数量</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highlight w:val="none"/>
              </w:rPr>
            </w:pPr>
            <w:r>
              <w:rPr>
                <w:rFonts w:ascii="宋体" w:hAnsi="宋体" w:eastAsia="宋体" w:cs="宋体"/>
                <w:b/>
                <w:kern w:val="0"/>
                <w:sz w:val="24"/>
                <w:szCs w:val="24"/>
                <w:highlight w:val="none"/>
              </w:rPr>
              <w:t>品目号预算</w:t>
            </w:r>
          </w:p>
        </w:tc>
        <w:tc>
          <w:tcPr>
            <w:tcW w:w="12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highlight w:val="none"/>
              </w:rPr>
            </w:pPr>
            <w:r>
              <w:rPr>
                <w:rFonts w:ascii="宋体" w:hAnsi="宋体" w:eastAsia="宋体" w:cs="宋体"/>
                <w:b/>
                <w:kern w:val="0"/>
                <w:sz w:val="24"/>
                <w:szCs w:val="24"/>
                <w:highlight w:val="none"/>
              </w:rPr>
              <w:t>合同包预算</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highlight w:val="none"/>
              </w:rPr>
            </w:pPr>
            <w:r>
              <w:rPr>
                <w:rFonts w:ascii="宋体" w:hAnsi="宋体" w:eastAsia="宋体" w:cs="宋体"/>
                <w:b/>
                <w:kern w:val="0"/>
                <w:sz w:val="24"/>
                <w:szCs w:val="24"/>
                <w:highlight w:val="none"/>
              </w:rPr>
              <w:t>谈判保证金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tblHeader/>
        </w:trPr>
        <w:tc>
          <w:tcPr>
            <w:tcW w:w="926" w:type="dxa"/>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kern w:val="0"/>
                <w:sz w:val="24"/>
                <w:szCs w:val="24"/>
                <w:highlight w:val="none"/>
              </w:rPr>
            </w:pPr>
            <w:r>
              <w:rPr>
                <w:rFonts w:ascii="宋体" w:hAnsi="宋体" w:eastAsia="宋体" w:cs="宋体"/>
                <w:kern w:val="0"/>
                <w:sz w:val="24"/>
                <w:szCs w:val="24"/>
                <w:highlight w:val="none"/>
              </w:rPr>
              <w:t>1</w:t>
            </w: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highlight w:val="none"/>
              </w:rPr>
            </w:pPr>
            <w:r>
              <w:rPr>
                <w:rFonts w:ascii="宋体" w:hAnsi="宋体" w:eastAsia="宋体" w:cs="宋体"/>
                <w:kern w:val="0"/>
                <w:sz w:val="24"/>
                <w:szCs w:val="24"/>
                <w:highlight w:val="none"/>
              </w:rPr>
              <w:t>1-1</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万向排气罩</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132（套）</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bCs/>
                <w:sz w:val="24"/>
                <w:szCs w:val="24"/>
                <w:highlight w:val="none"/>
              </w:rPr>
            </w:pPr>
            <w:r>
              <w:rPr>
                <w:rFonts w:hint="eastAsia" w:asciiTheme="minorEastAsia" w:hAnsiTheme="minorEastAsia" w:cstheme="minorEastAsia"/>
                <w:bCs/>
                <w:sz w:val="24"/>
                <w:highlight w:val="none"/>
              </w:rPr>
              <w:t>147180</w:t>
            </w:r>
          </w:p>
        </w:tc>
        <w:tc>
          <w:tcPr>
            <w:tcW w:w="1245" w:type="dxa"/>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r>
              <w:rPr>
                <w:rFonts w:hint="eastAsia" w:ascii="宋体" w:hAnsi="宋体" w:eastAsia="宋体"/>
                <w:bCs/>
                <w:sz w:val="24"/>
                <w:szCs w:val="24"/>
                <w:highlight w:val="none"/>
              </w:rPr>
              <w:t>288885</w:t>
            </w:r>
          </w:p>
        </w:tc>
        <w:tc>
          <w:tcPr>
            <w:tcW w:w="1320" w:type="dxa"/>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5777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kern w:val="0"/>
                <w:sz w:val="24"/>
                <w:szCs w:val="24"/>
                <w:highlight w:val="none"/>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1-2</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中央台</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1（座）</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bCs/>
                <w:sz w:val="24"/>
                <w:szCs w:val="24"/>
                <w:highlight w:val="none"/>
              </w:rPr>
            </w:pPr>
            <w:r>
              <w:rPr>
                <w:rFonts w:hint="eastAsia" w:asciiTheme="minorEastAsia" w:hAnsiTheme="minorEastAsia" w:cstheme="minorEastAsia"/>
                <w:bCs/>
                <w:sz w:val="24"/>
                <w:highlight w:val="none"/>
              </w:rPr>
              <w:t>11830</w:t>
            </w:r>
          </w:p>
        </w:tc>
        <w:tc>
          <w:tcPr>
            <w:tcW w:w="1245" w:type="dxa"/>
            <w:vMerge w:val="continue"/>
            <w:tcBorders>
              <w:left w:val="outset" w:color="auto" w:sz="6" w:space="0"/>
              <w:right w:val="outset" w:color="auto" w:sz="6" w:space="0"/>
            </w:tcBorders>
            <w:vAlign w:val="center"/>
          </w:tcPr>
          <w:p>
            <w:pPr>
              <w:widowControl/>
              <w:jc w:val="center"/>
              <w:rPr>
                <w:rFonts w:ascii="宋体" w:hAnsi="宋体"/>
                <w:bCs/>
                <w:sz w:val="24"/>
                <w:szCs w:val="24"/>
                <w:highlight w:val="none"/>
              </w:rPr>
            </w:pPr>
          </w:p>
        </w:tc>
        <w:tc>
          <w:tcPr>
            <w:tcW w:w="1320" w:type="dxa"/>
            <w:vMerge w:val="continue"/>
            <w:tcBorders>
              <w:left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kern w:val="0"/>
                <w:sz w:val="24"/>
                <w:szCs w:val="24"/>
                <w:highlight w:val="none"/>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1-3</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通风柜</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4（套）</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bCs/>
                <w:sz w:val="24"/>
                <w:szCs w:val="24"/>
                <w:highlight w:val="none"/>
              </w:rPr>
            </w:pPr>
            <w:r>
              <w:rPr>
                <w:rFonts w:hint="eastAsia" w:asciiTheme="minorEastAsia" w:hAnsiTheme="minorEastAsia" w:cstheme="minorEastAsia"/>
                <w:bCs/>
                <w:sz w:val="24"/>
                <w:highlight w:val="none"/>
              </w:rPr>
              <w:t>39740</w:t>
            </w:r>
          </w:p>
        </w:tc>
        <w:tc>
          <w:tcPr>
            <w:tcW w:w="1245" w:type="dxa"/>
            <w:vMerge w:val="continue"/>
            <w:tcBorders>
              <w:left w:val="outset" w:color="auto" w:sz="6" w:space="0"/>
              <w:right w:val="outset" w:color="auto" w:sz="6" w:space="0"/>
            </w:tcBorders>
            <w:vAlign w:val="center"/>
          </w:tcPr>
          <w:p>
            <w:pPr>
              <w:widowControl/>
              <w:jc w:val="center"/>
              <w:rPr>
                <w:rFonts w:ascii="宋体" w:hAnsi="宋体"/>
                <w:bCs/>
                <w:sz w:val="24"/>
                <w:szCs w:val="24"/>
                <w:highlight w:val="none"/>
              </w:rPr>
            </w:pPr>
          </w:p>
        </w:tc>
        <w:tc>
          <w:tcPr>
            <w:tcW w:w="1320" w:type="dxa"/>
            <w:vMerge w:val="continue"/>
            <w:tcBorders>
              <w:left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kern w:val="0"/>
                <w:sz w:val="24"/>
                <w:szCs w:val="24"/>
                <w:highlight w:val="none"/>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1-4</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实验台拆除及修复</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1（套）</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bCs/>
                <w:sz w:val="24"/>
                <w:szCs w:val="24"/>
                <w:highlight w:val="none"/>
              </w:rPr>
            </w:pPr>
            <w:r>
              <w:rPr>
                <w:rFonts w:hint="eastAsia" w:asciiTheme="minorEastAsia" w:hAnsiTheme="minorEastAsia" w:cstheme="minorEastAsia"/>
                <w:bCs/>
                <w:sz w:val="24"/>
                <w:highlight w:val="none"/>
              </w:rPr>
              <w:t>28145</w:t>
            </w:r>
          </w:p>
        </w:tc>
        <w:tc>
          <w:tcPr>
            <w:tcW w:w="1245" w:type="dxa"/>
            <w:vMerge w:val="continue"/>
            <w:tcBorders>
              <w:left w:val="outset" w:color="auto" w:sz="6" w:space="0"/>
              <w:right w:val="outset" w:color="auto" w:sz="6" w:space="0"/>
            </w:tcBorders>
            <w:vAlign w:val="center"/>
          </w:tcPr>
          <w:p>
            <w:pPr>
              <w:widowControl/>
              <w:jc w:val="center"/>
              <w:rPr>
                <w:rFonts w:ascii="宋体" w:hAnsi="宋体"/>
                <w:bCs/>
                <w:sz w:val="24"/>
                <w:szCs w:val="24"/>
                <w:highlight w:val="none"/>
              </w:rPr>
            </w:pPr>
          </w:p>
        </w:tc>
        <w:tc>
          <w:tcPr>
            <w:tcW w:w="1320" w:type="dxa"/>
            <w:vMerge w:val="continue"/>
            <w:tcBorders>
              <w:left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kern w:val="0"/>
                <w:sz w:val="24"/>
                <w:szCs w:val="24"/>
                <w:highlight w:val="none"/>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1-5</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通风系统</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2（套）</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bCs/>
                <w:sz w:val="24"/>
                <w:szCs w:val="24"/>
                <w:highlight w:val="none"/>
              </w:rPr>
            </w:pPr>
            <w:r>
              <w:rPr>
                <w:rFonts w:hint="eastAsia" w:asciiTheme="minorEastAsia" w:hAnsiTheme="minorEastAsia" w:cstheme="minorEastAsia"/>
                <w:bCs/>
                <w:sz w:val="24"/>
                <w:highlight w:val="none"/>
              </w:rPr>
              <w:t>61990</w:t>
            </w:r>
          </w:p>
        </w:tc>
        <w:tc>
          <w:tcPr>
            <w:tcW w:w="1245" w:type="dxa"/>
            <w:vMerge w:val="continue"/>
            <w:tcBorders>
              <w:left w:val="outset" w:color="auto" w:sz="6" w:space="0"/>
              <w:right w:val="outset" w:color="auto" w:sz="6" w:space="0"/>
            </w:tcBorders>
            <w:vAlign w:val="center"/>
          </w:tcPr>
          <w:p>
            <w:pPr>
              <w:widowControl/>
              <w:jc w:val="center"/>
              <w:rPr>
                <w:rFonts w:ascii="宋体" w:hAnsi="宋体"/>
                <w:bCs/>
                <w:sz w:val="24"/>
                <w:szCs w:val="24"/>
                <w:highlight w:val="none"/>
              </w:rPr>
            </w:pPr>
          </w:p>
        </w:tc>
        <w:tc>
          <w:tcPr>
            <w:tcW w:w="1320" w:type="dxa"/>
            <w:vMerge w:val="continue"/>
            <w:tcBorders>
              <w:left w:val="outset" w:color="auto" w:sz="6" w:space="0"/>
              <w:right w:val="outset" w:color="auto" w:sz="6" w:space="0"/>
            </w:tcBorders>
            <w:vAlign w:val="center"/>
          </w:tcPr>
          <w:p>
            <w:pPr>
              <w:widowControl/>
              <w:jc w:val="center"/>
              <w:rPr>
                <w:rFonts w:ascii="宋体" w:hAnsi="宋体" w:eastAsia="宋体" w:cs="宋体"/>
                <w:bCs/>
                <w:kern w:val="0"/>
                <w:sz w:val="24"/>
                <w:szCs w:val="24"/>
                <w:highlight w:val="none"/>
              </w:rPr>
            </w:pPr>
          </w:p>
        </w:tc>
      </w:tr>
    </w:tbl>
    <w:p>
      <w:pPr>
        <w:pStyle w:val="8"/>
        <w:widowControl/>
        <w:numPr>
          <w:ilvl w:val="0"/>
          <w:numId w:val="1"/>
        </w:numPr>
        <w:spacing w:before="75" w:beforeAutospacing="0" w:after="75" w:afterAutospacing="0" w:line="435" w:lineRule="atLeast"/>
        <w:rPr>
          <w:rFonts w:ascii="宋体" w:cs="宋体"/>
          <w:highlight w:val="none"/>
        </w:rPr>
      </w:pPr>
      <w:r>
        <w:rPr>
          <w:rFonts w:hint="eastAsia" w:ascii="宋体" w:hAnsi="宋体" w:cs="宋体"/>
          <w:highlight w:val="none"/>
          <w:shd w:val="clear" w:color="auto" w:fill="FFFFFF"/>
        </w:rPr>
        <w:t>采购项目需要落实的政府采购政策：节能产品，适用于（合同包1），按照“关于印发节能产品政府采购品目清单的通知”（财库〔2019〕19号）执行。环境标志产品，适用于（合同包1），按照“关于印发环境标志产品政府采购品目清单的通知”（财库〔2019〕18号）执行。小型、微型企业，适用于（合同包1）。监狱企业，适用于（合同包1）。促进残疾人就业 ，适用于（合同包1）。</w:t>
      </w:r>
      <w:r>
        <w:rPr>
          <w:rFonts w:hint="eastAsia" w:ascii="宋体" w:hAnsi="宋体" w:cs="宋体"/>
          <w:highlight w:val="none"/>
        </w:rPr>
        <w:t>信用记录，适用于（合同包</w:t>
      </w:r>
      <w:r>
        <w:rPr>
          <w:rFonts w:ascii="宋体" w:hAnsi="宋体" w:cs="宋体"/>
          <w:highlight w:val="none"/>
        </w:rPr>
        <w:t>1</w:t>
      </w:r>
      <w:r>
        <w:rPr>
          <w:rFonts w:hint="eastAsia" w:ascii="宋体" w:hAnsi="宋体" w:cs="宋体"/>
          <w:highlight w:val="none"/>
        </w:rPr>
        <w:t>），按照下列规定执行：（</w:t>
      </w:r>
      <w:r>
        <w:rPr>
          <w:rFonts w:ascii="宋体" w:hAnsi="宋体" w:cs="宋体"/>
          <w:highlight w:val="none"/>
        </w:rPr>
        <w:t>1</w:t>
      </w:r>
      <w:r>
        <w:rPr>
          <w:rFonts w:hint="eastAsia" w:ascii="宋体" w:hAnsi="宋体" w:cs="宋体"/>
          <w:highlight w:val="none"/>
        </w:rPr>
        <w:t>）投标人应在（填写招标文件要求的截止时点）前分别通过“信用中国”网站（</w:t>
      </w:r>
      <w:r>
        <w:rPr>
          <w:rFonts w:ascii="宋体" w:hAnsi="宋体" w:cs="宋体"/>
          <w:highlight w:val="none"/>
        </w:rPr>
        <w:t>www.creditchina.gov.cn</w:t>
      </w:r>
      <w:r>
        <w:rPr>
          <w:rFonts w:hint="eastAsia" w:ascii="宋体" w:hAnsi="宋体" w:cs="宋体"/>
          <w:highlight w:val="none"/>
        </w:rPr>
        <w:t>）、中国政府采购网（</w:t>
      </w:r>
      <w:r>
        <w:rPr>
          <w:rFonts w:ascii="宋体" w:hAnsi="宋体" w:cs="宋体"/>
          <w:highlight w:val="none"/>
        </w:rPr>
        <w:t>www.ccgp.gov.cn</w:t>
      </w:r>
      <w:r>
        <w:rPr>
          <w:rFonts w:hint="eastAsia" w:ascii="宋体" w:hAnsi="宋体" w:cs="宋体"/>
          <w:highlight w:val="none"/>
        </w:rPr>
        <w:t>）查询并打印相应的信用记录（以下简称：“投标人提供的查询结果”），投标人提供的查询结果应为其通过上述网站获取的信用信息查询结果原始页面的打印件（或截图）。（</w:t>
      </w:r>
      <w:r>
        <w:rPr>
          <w:rFonts w:ascii="宋体" w:hAnsi="宋体" w:cs="宋体"/>
          <w:highlight w:val="none"/>
        </w:rPr>
        <w:t>2</w:t>
      </w:r>
      <w:r>
        <w:rPr>
          <w:rFonts w:hint="eastAsia" w:ascii="宋体" w:hAnsi="宋体" w:cs="宋体"/>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widowControl/>
        <w:spacing w:before="75" w:beforeAutospacing="0" w:after="75" w:afterAutospacing="0" w:line="435" w:lineRule="atLeast"/>
        <w:rPr>
          <w:highlight w:val="none"/>
        </w:rPr>
      </w:pPr>
      <w:r>
        <w:rPr>
          <w:rFonts w:ascii="宋体" w:hAnsi="宋体" w:cs="宋体"/>
          <w:highlight w:val="none"/>
        </w:rPr>
        <w:t>5.</w:t>
      </w:r>
      <w:r>
        <w:rPr>
          <w:rFonts w:hint="eastAsia" w:ascii="宋体" w:hAnsi="宋体" w:cs="宋体"/>
          <w:highlight w:val="none"/>
        </w:rPr>
        <w:t>供应商的资格要求</w:t>
      </w:r>
    </w:p>
    <w:p>
      <w:pPr>
        <w:pStyle w:val="8"/>
        <w:widowControl/>
        <w:spacing w:before="75" w:beforeAutospacing="0" w:after="75" w:afterAutospacing="0" w:line="435" w:lineRule="atLeast"/>
        <w:rPr>
          <w:highlight w:val="none"/>
        </w:rPr>
      </w:pPr>
      <w:r>
        <w:rPr>
          <w:rFonts w:ascii="宋体" w:hAnsi="宋体" w:cs="宋体"/>
          <w:highlight w:val="none"/>
          <w:shd w:val="clear" w:color="auto" w:fill="FFFFFF"/>
        </w:rPr>
        <w:t>5.1</w:t>
      </w:r>
      <w:r>
        <w:rPr>
          <w:rFonts w:hint="eastAsia" w:ascii="宋体" w:hAnsi="宋体" w:cs="宋体"/>
          <w:highlight w:val="none"/>
          <w:shd w:val="clear" w:color="auto" w:fill="FFFFFF"/>
        </w:rPr>
        <w:t>符合《中华人民共和国政府采购法》第二十二条第一款规定的条件。</w:t>
      </w:r>
    </w:p>
    <w:p>
      <w:pPr>
        <w:pStyle w:val="8"/>
        <w:widowControl/>
        <w:spacing w:before="75" w:beforeAutospacing="0" w:after="75" w:afterAutospacing="0" w:line="435" w:lineRule="atLeast"/>
        <w:rPr>
          <w:rFonts w:eastAsia="宋体"/>
          <w:highlight w:val="none"/>
        </w:rPr>
      </w:pPr>
      <w:r>
        <w:rPr>
          <w:rFonts w:ascii="宋体" w:hAnsi="宋体" w:cs="宋体"/>
          <w:highlight w:val="none"/>
          <w:shd w:val="clear" w:color="auto" w:fill="FFFFFF"/>
        </w:rPr>
        <w:t>5.2</w:t>
      </w:r>
      <w:r>
        <w:rPr>
          <w:rFonts w:hint="eastAsia" w:ascii="宋体" w:hAnsi="宋体" w:cs="宋体"/>
          <w:highlight w:val="none"/>
          <w:shd w:val="clear" w:color="auto" w:fill="FFFFFF"/>
        </w:rPr>
        <w:t>特定条件：</w:t>
      </w:r>
      <w:r>
        <w:rPr>
          <w:rStyle w:val="13"/>
          <w:rFonts w:hint="eastAsia" w:ascii="宋体" w:hAnsi="宋体" w:cs="宋体"/>
          <w:highlight w:val="none"/>
          <w:shd w:val="clear" w:color="auto" w:fill="FFFFFF"/>
        </w:rPr>
        <w:t>包</w:t>
      </w:r>
      <w:r>
        <w:rPr>
          <w:rStyle w:val="13"/>
          <w:rFonts w:ascii="宋体" w:hAnsi="宋体" w:cs="宋体"/>
          <w:highlight w:val="none"/>
          <w:shd w:val="clear" w:color="auto" w:fill="FFFFFF"/>
        </w:rPr>
        <w:t>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80"/>
        <w:gridCol w:w="50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280" w:type="dxa"/>
            <w:vAlign w:val="center"/>
          </w:tcPr>
          <w:p>
            <w:pPr>
              <w:widowControl/>
              <w:jc w:val="center"/>
              <w:rPr>
                <w:b/>
                <w:highlight w:val="none"/>
              </w:rPr>
            </w:pPr>
            <w:r>
              <w:rPr>
                <w:rFonts w:hint="eastAsia" w:ascii="宋体" w:hAnsi="宋体" w:cs="宋体"/>
                <w:b/>
                <w:kern w:val="0"/>
                <w:sz w:val="24"/>
                <w:highlight w:val="none"/>
              </w:rPr>
              <w:t>明细</w:t>
            </w:r>
          </w:p>
        </w:tc>
        <w:tc>
          <w:tcPr>
            <w:tcW w:w="5056" w:type="dxa"/>
            <w:vAlign w:val="center"/>
          </w:tcPr>
          <w:p>
            <w:pPr>
              <w:widowControl/>
              <w:jc w:val="center"/>
              <w:rPr>
                <w:b/>
                <w:highlight w:val="none"/>
              </w:rPr>
            </w:pPr>
            <w:r>
              <w:rPr>
                <w:rFonts w:hint="eastAsia" w:ascii="宋体" w:hAnsi="宋体" w:cs="宋体"/>
                <w:b/>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280" w:type="dxa"/>
            <w:vAlign w:val="center"/>
          </w:tcPr>
          <w:p>
            <w:pPr>
              <w:widowControl/>
              <w:jc w:val="left"/>
              <w:rPr>
                <w:highlight w:val="none"/>
              </w:rPr>
            </w:pPr>
            <w:r>
              <w:rPr>
                <w:rFonts w:ascii="宋体" w:hAnsi="宋体" w:eastAsia="宋体" w:cs="宋体"/>
                <w:kern w:val="0"/>
                <w:sz w:val="24"/>
                <w:szCs w:val="24"/>
                <w:highlight w:val="none"/>
              </w:rPr>
              <w:t>招标文件规定的其他资格证明文件（若有）</w:t>
            </w:r>
          </w:p>
        </w:tc>
        <w:tc>
          <w:tcPr>
            <w:tcW w:w="5056" w:type="dxa"/>
            <w:vAlign w:val="center"/>
          </w:tcPr>
          <w:p>
            <w:pPr>
              <w:widowControl/>
              <w:jc w:val="left"/>
              <w:rPr>
                <w:highlight w:val="none"/>
              </w:rPr>
            </w:pPr>
            <w:r>
              <w:rPr>
                <w:rFonts w:ascii="宋体" w:hAnsi="宋体" w:eastAsia="宋体" w:cs="宋体"/>
                <w:kern w:val="0"/>
                <w:sz w:val="24"/>
                <w:szCs w:val="24"/>
                <w:highlight w:val="none"/>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280" w:type="dxa"/>
            <w:vAlign w:val="center"/>
          </w:tcPr>
          <w:p>
            <w:pPr>
              <w:widowControl/>
              <w:jc w:val="left"/>
              <w:rPr>
                <w:highlight w:val="none"/>
              </w:rPr>
            </w:pPr>
            <w:r>
              <w:rPr>
                <w:rFonts w:ascii="宋体" w:hAnsi="宋体" w:eastAsia="宋体" w:cs="宋体"/>
                <w:kern w:val="0"/>
                <w:sz w:val="24"/>
                <w:szCs w:val="24"/>
                <w:highlight w:val="none"/>
              </w:rPr>
              <w:t>具备履行合同所必需设备和专业技术能力专项证明材料（若有）</w:t>
            </w:r>
          </w:p>
        </w:tc>
        <w:tc>
          <w:tcPr>
            <w:tcW w:w="5056" w:type="dxa"/>
            <w:vAlign w:val="center"/>
          </w:tcPr>
          <w:p>
            <w:pPr>
              <w:widowControl/>
              <w:jc w:val="left"/>
              <w:rPr>
                <w:highlight w:val="none"/>
              </w:rPr>
            </w:pPr>
            <w:r>
              <w:rPr>
                <w:rFonts w:ascii="宋体" w:hAnsi="宋体" w:eastAsia="宋体" w:cs="宋体"/>
                <w:kern w:val="0"/>
                <w:sz w:val="24"/>
                <w:szCs w:val="24"/>
                <w:highlight w:val="none"/>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8"/>
        <w:widowControl/>
        <w:spacing w:before="75" w:beforeAutospacing="0" w:after="75" w:afterAutospacing="0" w:line="360" w:lineRule="atLeast"/>
        <w:rPr>
          <w:rFonts w:ascii="宋体" w:hAnsi="宋体" w:cs="宋体"/>
          <w:highlight w:val="none"/>
          <w:shd w:val="clear" w:color="auto" w:fill="FFFFFF"/>
        </w:rPr>
      </w:pPr>
      <w:r>
        <w:rPr>
          <w:rFonts w:ascii="宋体" w:hAnsi="宋体" w:cs="宋体"/>
          <w:highlight w:val="none"/>
          <w:shd w:val="clear" w:color="auto" w:fill="FFFFFF"/>
        </w:rPr>
        <w:t>5.3</w:t>
      </w:r>
      <w:r>
        <w:rPr>
          <w:rFonts w:hint="eastAsia" w:ascii="宋体" w:hAnsi="宋体" w:cs="宋体"/>
          <w:highlight w:val="none"/>
          <w:shd w:val="clear" w:color="auto" w:fill="FFFFFF"/>
        </w:rPr>
        <w:t>是否接受联合体形式的响应谈判：不接受</w:t>
      </w:r>
    </w:p>
    <w:p>
      <w:pPr>
        <w:pStyle w:val="8"/>
        <w:widowControl/>
        <w:spacing w:before="75" w:beforeAutospacing="0" w:after="75" w:afterAutospacing="0" w:line="435" w:lineRule="atLeast"/>
        <w:ind w:firstLine="480"/>
        <w:rPr>
          <w:highlight w:val="none"/>
        </w:rPr>
      </w:pPr>
      <w:r>
        <w:rPr>
          <w:rStyle w:val="13"/>
          <w:rFonts w:hint="eastAsia" w:ascii="宋体" w:hAnsi="宋体" w:cs="宋体"/>
          <w:highlight w:val="none"/>
        </w:rPr>
        <w:t>※</w:t>
      </w:r>
      <w:r>
        <w:rPr>
          <w:rStyle w:val="13"/>
          <w:rFonts w:hint="eastAsia" w:ascii="宋体" w:hAnsi="宋体" w:cs="宋体"/>
          <w:highlight w:val="none"/>
          <w:shd w:val="clear" w:color="auto" w:fill="FFFFFF"/>
        </w:rPr>
        <w:t>根据上述资格要求，供应商响应文件中应提交的“资格证明文件”相关规定和资料要求，详见竞争性谈判须知前附表和谈判文件第五章。</w:t>
      </w:r>
    </w:p>
    <w:p>
      <w:pPr>
        <w:pStyle w:val="8"/>
        <w:widowControl/>
        <w:spacing w:before="75" w:beforeAutospacing="0" w:after="75" w:afterAutospacing="0" w:line="435" w:lineRule="atLeast"/>
        <w:rPr>
          <w:highlight w:val="none"/>
        </w:rPr>
      </w:pPr>
      <w:r>
        <w:rPr>
          <w:rFonts w:ascii="宋体" w:hAnsi="宋体" w:cs="宋体"/>
          <w:highlight w:val="none"/>
          <w:shd w:val="clear" w:color="auto" w:fill="FFFFFF"/>
        </w:rPr>
        <w:t>6.</w:t>
      </w:r>
      <w:r>
        <w:rPr>
          <w:rFonts w:ascii="宋体" w:hAnsi="宋体" w:eastAsia="宋体" w:cs="宋体"/>
          <w:szCs w:val="24"/>
          <w:highlight w:val="none"/>
        </w:rPr>
        <w:t>供应商报名期限：详见谈判公告或更正公告（若有），</w:t>
      </w:r>
      <w:r>
        <w:rPr>
          <w:rFonts w:hint="eastAsia" w:ascii="宋体" w:hAnsi="宋体" w:eastAsia="宋体" w:cs="宋体"/>
          <w:szCs w:val="24"/>
          <w:highlight w:val="none"/>
        </w:rPr>
        <w:t>若不一致，以更正公告（若有）为准</w:t>
      </w:r>
      <w:r>
        <w:rPr>
          <w:rFonts w:hint="eastAsia" w:ascii="宋体" w:hAnsi="宋体" w:eastAsia="宋体" w:cs="宋体"/>
          <w:szCs w:val="24"/>
          <w:highlight w:val="none"/>
          <w:shd w:val="clear" w:color="auto" w:fill="FFFFFF"/>
        </w:rPr>
        <w:t>。</w:t>
      </w:r>
    </w:p>
    <w:p>
      <w:pPr>
        <w:pStyle w:val="8"/>
        <w:widowControl/>
        <w:spacing w:before="75" w:beforeAutospacing="0" w:after="75" w:afterAutospacing="0" w:line="435" w:lineRule="atLeast"/>
        <w:rPr>
          <w:highlight w:val="none"/>
        </w:rPr>
      </w:pPr>
      <w:r>
        <w:rPr>
          <w:rFonts w:hint="eastAsia" w:ascii="宋体" w:hAnsi="宋体" w:eastAsia="宋体" w:cs="宋体"/>
          <w:szCs w:val="24"/>
          <w:highlight w:val="none"/>
          <w:shd w:val="clear" w:color="auto" w:fill="FFFFFF"/>
        </w:rPr>
        <w:t> 6.1如果采购过程中有发出更正公告，采购人将根据实际情况确定是否延长报名期限，则报名截止时间以更正公告中的约定为准。</w:t>
      </w:r>
    </w:p>
    <w:p>
      <w:pPr>
        <w:pStyle w:val="8"/>
        <w:widowControl/>
        <w:spacing w:before="75" w:beforeAutospacing="0" w:after="75" w:afterAutospacing="0" w:line="435" w:lineRule="atLeast"/>
        <w:rPr>
          <w:rFonts w:ascii="宋体" w:hAnsi="宋体" w:eastAsia="宋体" w:cs="宋体"/>
          <w:szCs w:val="24"/>
          <w:highlight w:val="none"/>
        </w:rPr>
      </w:pPr>
      <w:r>
        <w:rPr>
          <w:rFonts w:hint="eastAsia" w:ascii="宋体" w:hAnsi="宋体" w:eastAsia="宋体" w:cs="宋体"/>
          <w:szCs w:val="24"/>
          <w:highlight w:val="none"/>
          <w:shd w:val="clear" w:color="auto" w:fill="FFFFFF"/>
        </w:rPr>
        <w:t> 6.2报名期限内，供应商应通过向福建丰盛项目管理有限公司对本项目进行报名(请致电联系，或至福建省泉州市丰泽区坪山路255号泉州理工职业学院思恩楼6楼601报名)。未报名将导致其响应文件被拒收。</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获取采购文件时间、地点、方式：</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7.1</w:t>
      </w:r>
      <w:r>
        <w:rPr>
          <w:rFonts w:hint="eastAsia" w:ascii="宋体" w:hAnsi="宋体" w:eastAsia="宋体" w:cs="宋体"/>
          <w:kern w:val="0"/>
          <w:sz w:val="24"/>
          <w:szCs w:val="24"/>
          <w:highlight w:val="none"/>
        </w:rPr>
        <w:t>采购文件的提供期限：详见谈判公告或更正公告（若有），若不一致，以更正公告（若有）为准。</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7.2</w:t>
      </w:r>
      <w:r>
        <w:rPr>
          <w:rFonts w:hint="eastAsia" w:ascii="宋体" w:hAnsi="宋体" w:eastAsia="宋体" w:cs="宋体"/>
          <w:kern w:val="0"/>
          <w:sz w:val="24"/>
          <w:szCs w:val="24"/>
          <w:highlight w:val="none"/>
        </w:rPr>
        <w:t>获取地点及方式：应凡有意参加的供应商可按下述地址到</w:t>
      </w:r>
      <w:r>
        <w:rPr>
          <w:rFonts w:ascii="宋体" w:hAnsi="宋体" w:eastAsia="宋体" w:cs="宋体"/>
          <w:kern w:val="0"/>
          <w:sz w:val="24"/>
          <w:szCs w:val="24"/>
          <w:highlight w:val="none"/>
        </w:rPr>
        <w:t>福建</w:t>
      </w:r>
      <w:r>
        <w:rPr>
          <w:rFonts w:hint="eastAsia" w:ascii="宋体" w:hAnsi="宋体" w:eastAsia="宋体" w:cs="宋体"/>
          <w:kern w:val="0"/>
          <w:sz w:val="24"/>
          <w:szCs w:val="24"/>
          <w:highlight w:val="none"/>
        </w:rPr>
        <w:t>丰盛项目管理有限公司（福建省泉州市丰泽区坪山路255号泉州理工职业学院思恩楼6楼601）购买竞争性谈判文件，未购买谈判文件的投标人，其投标将被拒绝。</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8.</w:t>
      </w:r>
      <w:r>
        <w:rPr>
          <w:rFonts w:hint="eastAsia" w:ascii="宋体" w:hAnsi="宋体" w:eastAsia="宋体" w:cs="宋体"/>
          <w:kern w:val="0"/>
          <w:sz w:val="24"/>
          <w:szCs w:val="24"/>
          <w:highlight w:val="none"/>
        </w:rPr>
        <w:t>采购文件售价：200元。售后不退，若需邮寄，请加付邮寄费50元。对邮寄过程中可能发生的延误或丢失，招标代理机构概不负责。</w:t>
      </w: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9.</w:t>
      </w:r>
      <w:r>
        <w:rPr>
          <w:rFonts w:hint="eastAsia" w:ascii="宋体" w:hAnsi="宋体" w:eastAsia="宋体" w:cs="宋体"/>
          <w:kern w:val="0"/>
          <w:sz w:val="24"/>
          <w:szCs w:val="24"/>
          <w:highlight w:val="none"/>
        </w:rPr>
        <w:t>首次响应文件递交截止时间及地点：详见谈判公告或更正公告（若有），若不一致，以更正公告（若有）为准。供应商应在此之前将密封的首次响应文件送达本章第</w:t>
      </w:r>
      <w:r>
        <w:rPr>
          <w:rFonts w:ascii="宋体" w:hAnsi="宋体" w:eastAsia="宋体" w:cs="宋体"/>
          <w:kern w:val="0"/>
          <w:sz w:val="24"/>
          <w:szCs w:val="24"/>
          <w:highlight w:val="none"/>
        </w:rPr>
        <w:t>10</w:t>
      </w:r>
      <w:r>
        <w:rPr>
          <w:rFonts w:hint="eastAsia" w:ascii="宋体" w:hAnsi="宋体" w:eastAsia="宋体" w:cs="宋体"/>
          <w:kern w:val="0"/>
          <w:sz w:val="24"/>
          <w:szCs w:val="24"/>
          <w:highlight w:val="none"/>
        </w:rPr>
        <w:t>条载明的地点，逾期送达的或不符合规定的响应文件将被拒绝接收。</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10.</w:t>
      </w:r>
      <w:r>
        <w:rPr>
          <w:rFonts w:hint="eastAsia" w:ascii="宋体" w:hAnsi="宋体" w:eastAsia="宋体" w:cs="宋体"/>
          <w:kern w:val="0"/>
          <w:sz w:val="24"/>
          <w:szCs w:val="24"/>
          <w:highlight w:val="none"/>
        </w:rPr>
        <w:t>谈判时间及地点：详见谈判公告或更正公告（若有），若不一致，以更正公告（若有）为准。</w:t>
      </w:r>
    </w:p>
    <w:p>
      <w:pPr>
        <w:widowControl/>
        <w:spacing w:before="75" w:after="75" w:line="435"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11.竞争性谈判公告期限：自财政部指定的政府采购信息发布媒体最先发布公告之日起3个工作日。</w:t>
      </w:r>
    </w:p>
    <w:p>
      <w:pPr>
        <w:widowControl/>
        <w:spacing w:before="75" w:after="75" w:line="435"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12.采购人：泉州师范学院</w:t>
      </w:r>
    </w:p>
    <w:p>
      <w:pPr>
        <w:widowControl/>
        <w:spacing w:before="75" w:after="75" w:line="435"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地  址：福建省泉州市丰泽区东海大街398号</w:t>
      </w:r>
    </w:p>
    <w:p>
      <w:pPr>
        <w:widowControl/>
        <w:spacing w:before="75" w:after="75" w:line="435"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联系人： 陈老师</w:t>
      </w:r>
    </w:p>
    <w:p>
      <w:pPr>
        <w:widowControl/>
        <w:spacing w:before="75" w:after="75" w:line="435"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联系方法：0595-22919532</w:t>
      </w:r>
    </w:p>
    <w:p>
      <w:pPr>
        <w:widowControl/>
        <w:spacing w:before="75" w:after="75" w:line="435"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代理机构：福建丰盛项目管理有限公司</w:t>
      </w:r>
    </w:p>
    <w:p>
      <w:pPr>
        <w:widowControl/>
        <w:spacing w:before="75" w:after="75" w:line="435"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地  址：福建省泉州市丰泽区坪山路255号泉州理工职业学院思恩楼6楼601</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联系人：</w:t>
      </w:r>
      <w:r>
        <w:rPr>
          <w:rFonts w:hint="eastAsia" w:ascii="宋体" w:hAnsi="宋体" w:eastAsia="宋体" w:cs="宋体"/>
          <w:kern w:val="0"/>
          <w:sz w:val="24"/>
          <w:szCs w:val="24"/>
          <w:highlight w:val="none"/>
        </w:rPr>
        <w:t>林承玺</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联系方法：</w:t>
      </w:r>
      <w:r>
        <w:rPr>
          <w:rFonts w:hint="eastAsia" w:ascii="宋体" w:hAnsi="宋体" w:eastAsia="宋体" w:cs="宋体"/>
          <w:kern w:val="0"/>
          <w:sz w:val="24"/>
          <w:szCs w:val="24"/>
          <w:highlight w:val="none"/>
        </w:rPr>
        <w:t>18159238005、13395062909</w:t>
      </w:r>
    </w:p>
    <w:p>
      <w:pPr>
        <w:widowControl/>
        <w:spacing w:before="75" w:after="75" w:line="435" w:lineRule="atLeast"/>
        <w:jc w:val="left"/>
        <w:rPr>
          <w:rFonts w:ascii="宋体" w:hAnsi="宋体" w:eastAsia="宋体" w:cs="宋体"/>
          <w:kern w:val="0"/>
          <w:sz w:val="24"/>
          <w:szCs w:val="24"/>
          <w:highlight w:val="none"/>
        </w:rPr>
      </w:pP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附1：提交谈判保证金的银行账户信息</w:t>
      </w:r>
    </w:p>
    <w:tbl>
      <w:tblPr>
        <w:tblStyle w:val="10"/>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银行账户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开户名称：福建</w:t>
            </w:r>
            <w:r>
              <w:rPr>
                <w:rFonts w:hint="eastAsia" w:ascii="宋体" w:hAnsi="宋体" w:eastAsia="宋体" w:cs="宋体"/>
                <w:kern w:val="0"/>
                <w:sz w:val="24"/>
                <w:szCs w:val="24"/>
                <w:highlight w:val="none"/>
              </w:rPr>
              <w:t>丰盛项目管理有限公司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开户银行：</w:t>
            </w:r>
            <w:r>
              <w:rPr>
                <w:rFonts w:hint="eastAsia" w:ascii="宋体" w:hAnsi="宋体" w:eastAsia="宋体" w:cs="宋体"/>
                <w:kern w:val="0"/>
                <w:sz w:val="24"/>
                <w:szCs w:val="24"/>
                <w:highlight w:val="none"/>
              </w:rPr>
              <w:t>中国建设银行股份有限公司泉州丰泽支行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银行账号：</w:t>
            </w:r>
            <w:r>
              <w:rPr>
                <w:rFonts w:hint="eastAsia" w:ascii="宋体" w:hAnsi="宋体" w:eastAsia="宋体" w:cs="宋体"/>
                <w:kern w:val="0"/>
                <w:sz w:val="24"/>
                <w:szCs w:val="24"/>
                <w:highlight w:val="none"/>
              </w:rPr>
              <w:t xml:space="preserve"> 35050165600700001403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谈判保证金须</w:t>
            </w:r>
            <w:r>
              <w:rPr>
                <w:rFonts w:hint="eastAsia" w:ascii="宋体" w:hAnsi="宋体" w:eastAsia="宋体" w:cs="宋体"/>
                <w:bCs/>
                <w:kern w:val="0"/>
                <w:sz w:val="24"/>
                <w:szCs w:val="24"/>
                <w:highlight w:val="none"/>
              </w:rPr>
              <w:t>于首次提交响应文件截止时间前公对公转至以上账号。谈判保证金</w:t>
            </w:r>
            <w:r>
              <w:rPr>
                <w:rFonts w:ascii="宋体" w:hAnsi="宋体" w:eastAsia="宋体" w:cs="宋体"/>
                <w:kern w:val="0"/>
                <w:sz w:val="24"/>
                <w:szCs w:val="24"/>
                <w:highlight w:val="none"/>
              </w:rPr>
              <w:t>是否到达以实际到账为准</w:t>
            </w:r>
            <w:r>
              <w:rPr>
                <w:rFonts w:hint="eastAsia" w:ascii="宋体" w:hAnsi="宋体" w:eastAsia="宋体" w:cs="宋体"/>
                <w:kern w:val="0"/>
                <w:sz w:val="24"/>
                <w:szCs w:val="24"/>
                <w:highlight w:val="none"/>
              </w:rPr>
              <w:t>，</w:t>
            </w:r>
            <w:r>
              <w:rPr>
                <w:rFonts w:hint="eastAsia" w:ascii="宋体" w:hAnsi="宋体" w:eastAsia="宋体" w:cs="宋体"/>
                <w:bCs/>
                <w:kern w:val="0"/>
                <w:sz w:val="24"/>
                <w:szCs w:val="24"/>
                <w:highlight w:val="none"/>
              </w:rPr>
              <w:t>未按规定时间到账的其投标将被拒绝。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1、请供应商务必认真核对账户信息，将谈判保证金款项汇入对应账户，并自行承担因款项汇错而产生的一切后果。</w:t>
            </w:r>
          </w:p>
          <w:p>
            <w:pPr>
              <w:widowControl/>
              <w:spacing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2、请供应商在转账或电汇的凭证上务必按照以下格式注明，以便核对：“（项目编号：***、合同包：***）的谈判保证金”。</w:t>
            </w:r>
          </w:p>
        </w:tc>
      </w:tr>
    </w:tbl>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p>
    <w:p>
      <w:pPr>
        <w:rPr>
          <w:rFonts w:ascii="宋体" w:hAnsi="宋体" w:eastAsia="宋体" w:cs="宋体"/>
          <w:b/>
          <w:bCs/>
          <w:kern w:val="0"/>
          <w:sz w:val="44"/>
          <w:highlight w:val="none"/>
        </w:rPr>
      </w:pPr>
      <w:r>
        <w:rPr>
          <w:rFonts w:ascii="宋体" w:hAnsi="宋体" w:eastAsia="宋体" w:cs="宋体"/>
          <w:b/>
          <w:bCs/>
          <w:kern w:val="0"/>
          <w:sz w:val="44"/>
          <w:highlight w:val="none"/>
        </w:rPr>
        <w:br w:type="page"/>
      </w:r>
    </w:p>
    <w:p>
      <w:pPr>
        <w:widowControl/>
        <w:spacing w:before="75" w:after="75"/>
        <w:jc w:val="center"/>
        <w:outlineLvl w:val="0"/>
        <w:rPr>
          <w:rFonts w:ascii="宋体" w:hAnsi="宋体" w:eastAsia="宋体" w:cs="宋体"/>
          <w:kern w:val="0"/>
          <w:sz w:val="24"/>
          <w:szCs w:val="24"/>
          <w:highlight w:val="none"/>
        </w:rPr>
      </w:pPr>
      <w:r>
        <w:rPr>
          <w:rFonts w:ascii="宋体" w:hAnsi="宋体" w:eastAsia="宋体" w:cs="宋体"/>
          <w:b/>
          <w:bCs/>
          <w:kern w:val="0"/>
          <w:sz w:val="44"/>
          <w:highlight w:val="none"/>
        </w:rPr>
        <w:t>第二章  竞争性谈判须知</w:t>
      </w:r>
    </w:p>
    <w:p>
      <w:pPr>
        <w:widowControl/>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line="435" w:lineRule="atLeast"/>
        <w:jc w:val="center"/>
        <w:outlineLvl w:val="1"/>
        <w:rPr>
          <w:rFonts w:ascii="宋体" w:hAnsi="宋体" w:eastAsia="宋体" w:cs="宋体"/>
          <w:kern w:val="0"/>
          <w:sz w:val="24"/>
          <w:szCs w:val="24"/>
          <w:highlight w:val="none"/>
        </w:rPr>
      </w:pPr>
      <w:r>
        <w:rPr>
          <w:rFonts w:ascii="宋体" w:hAnsi="宋体" w:eastAsia="宋体" w:cs="宋体"/>
          <w:b/>
          <w:bCs/>
          <w:kern w:val="0"/>
          <w:sz w:val="32"/>
          <w:highlight w:val="none"/>
        </w:rPr>
        <w:t>第1节  竞争性谈判须知前附表</w:t>
      </w:r>
    </w:p>
    <w:p>
      <w:pPr>
        <w:widowControl/>
        <w:spacing w:before="75" w:after="240"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竞争性谈判须知前附表是对竞争性谈判须知的补充和细化，二者如有矛盾，以前附表中的要求和规定为准</w:t>
      </w:r>
    </w:p>
    <w:tbl>
      <w:tblPr>
        <w:tblStyle w:val="10"/>
        <w:tblW w:w="860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71"/>
        <w:gridCol w:w="796"/>
        <w:gridCol w:w="7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项号</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供应商的资格要求</w:t>
            </w:r>
            <w:r>
              <w:rPr>
                <w:rFonts w:ascii="宋体" w:hAnsi="宋体" w:eastAsia="宋体" w:cs="宋体"/>
                <w:kern w:val="0"/>
                <w:sz w:val="24"/>
                <w:szCs w:val="24"/>
                <w:highlight w:val="none"/>
              </w:rPr>
              <w:t>：见谈判文件第一章“采购公告/采购邀请书”</w:t>
            </w:r>
          </w:p>
          <w:p>
            <w:pPr>
              <w:widowControl/>
              <w:spacing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资格证明文件资料要求：</w:t>
            </w:r>
          </w:p>
          <w:tbl>
            <w:tblPr>
              <w:tblStyle w:val="10"/>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highlight w:val="none"/>
                    </w:rPr>
                  </w:pPr>
                  <w:r>
                    <w:rPr>
                      <w:rFonts w:ascii="宋体" w:hAnsi="宋体" w:eastAsia="宋体" w:cs="宋体"/>
                      <w:b/>
                      <w:bCs/>
                      <w:kern w:val="0"/>
                      <w:sz w:val="24"/>
                      <w:szCs w:val="24"/>
                      <w:highlight w:val="none"/>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highlight w:val="none"/>
                    </w:rPr>
                  </w:pPr>
                  <w:r>
                    <w:rPr>
                      <w:rFonts w:ascii="宋体" w:hAnsi="宋体" w:eastAsia="宋体" w:cs="宋体"/>
                      <w:b/>
                      <w:bCs/>
                      <w:kern w:val="0"/>
                      <w:sz w:val="24"/>
                      <w:szCs w:val="24"/>
                      <w:highlight w:val="none"/>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a1投标函</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a2单位负责人授权书</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a3法人或者其他组织的营业执照等证明文件，自然人的身份证明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a4财务状况报告</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a5依法缴纳税收的相关材料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a6依法缴纳社会保障资金的相关材料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a7具备履行合同所必需的设备和专业技术能力的材料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a8参加政府采购活动前3年内在经营活动中没有重大违法记录的书面声明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a9信用信息查询结果</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a10投标保证金</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p>
              </w:tc>
            </w:tr>
          </w:tbl>
          <w:p>
            <w:pPr>
              <w:widowControl/>
              <w:spacing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widowControl/>
              <w:spacing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特定资格条件：</w:t>
            </w:r>
          </w:p>
          <w:p>
            <w:pPr>
              <w:widowControl/>
              <w:spacing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包：1</w:t>
            </w:r>
          </w:p>
          <w:tbl>
            <w:tblPr>
              <w:tblStyle w:val="10"/>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highlight w:val="none"/>
                    </w:rPr>
                  </w:pPr>
                  <w:r>
                    <w:rPr>
                      <w:rFonts w:ascii="宋体" w:hAnsi="宋体" w:eastAsia="宋体" w:cs="宋体"/>
                      <w:b/>
                      <w:bCs/>
                      <w:kern w:val="0"/>
                      <w:sz w:val="24"/>
                      <w:szCs w:val="24"/>
                      <w:highlight w:val="none"/>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highlight w:val="none"/>
                    </w:rPr>
                  </w:pPr>
                  <w:r>
                    <w:rPr>
                      <w:rFonts w:ascii="宋体" w:hAnsi="宋体" w:eastAsia="宋体" w:cs="宋体"/>
                      <w:b/>
                      <w:bCs/>
                      <w:kern w:val="0"/>
                      <w:sz w:val="24"/>
                      <w:szCs w:val="24"/>
                      <w:highlight w:val="none"/>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招标文件规定的其他资格证明文件（若有）</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具备履行合同所必需设备和专业技术能力专项证明材料（若有）</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spacing w:line="75" w:lineRule="atLeast"/>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2</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是否接受联合体形式的响应谈判：</w:t>
            </w:r>
            <w:r>
              <w:rPr>
                <w:rFonts w:ascii="宋体" w:hAnsi="宋体" w:eastAsia="宋体" w:cs="宋体"/>
                <w:kern w:val="0"/>
                <w:sz w:val="24"/>
                <w:szCs w:val="24"/>
                <w:highlight w:val="none"/>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90"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3</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响应文件有效期：</w:t>
            </w:r>
            <w:r>
              <w:rPr>
                <w:rFonts w:ascii="宋体" w:hAnsi="宋体" w:eastAsia="宋体" w:cs="宋体"/>
                <w:kern w:val="0"/>
                <w:sz w:val="24"/>
                <w:szCs w:val="24"/>
                <w:highlight w:val="none"/>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4</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提交谈判保证金：</w:t>
            </w:r>
          </w:p>
          <w:p>
            <w:pPr>
              <w:widowControl/>
              <w:spacing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本项目的谈判保证金详见《采购标的一览表》，数额不得超过采购项目预算金额的2%，提交方式为公对公转账，须于提交响应文件</w:t>
            </w:r>
            <w:r>
              <w:rPr>
                <w:rFonts w:hint="eastAsia" w:ascii="宋体" w:hAnsi="宋体" w:eastAsia="宋体" w:cs="宋体"/>
                <w:kern w:val="0"/>
                <w:sz w:val="24"/>
                <w:szCs w:val="24"/>
                <w:highlight w:val="none"/>
              </w:rPr>
              <w:t>投标保证金递交规定时间</w:t>
            </w:r>
            <w:r>
              <w:rPr>
                <w:rFonts w:ascii="宋体" w:hAnsi="宋体" w:eastAsia="宋体" w:cs="宋体"/>
                <w:kern w:val="0"/>
                <w:sz w:val="24"/>
                <w:szCs w:val="24"/>
                <w:highlight w:val="none"/>
              </w:rPr>
              <w:t>前到达指定账户为准</w:t>
            </w:r>
            <w:r>
              <w:rPr>
                <w:rFonts w:hint="eastAsia" w:ascii="宋体" w:hAnsi="宋体" w:eastAsia="宋体" w:cs="宋体"/>
                <w:kern w:val="0"/>
                <w:sz w:val="24"/>
                <w:szCs w:val="24"/>
                <w:highlight w:val="none"/>
              </w:rPr>
              <w:t>。</w:t>
            </w:r>
          </w:p>
          <w:p>
            <w:pPr>
              <w:widowControl/>
              <w:spacing w:line="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其他约定：无。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5</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谈判保证金退还的其它要求：</w:t>
            </w:r>
            <w:r>
              <w:rPr>
                <w:rFonts w:ascii="宋体" w:hAnsi="宋体" w:eastAsia="宋体" w:cs="宋体"/>
                <w:kern w:val="0"/>
                <w:sz w:val="24"/>
                <w:szCs w:val="24"/>
                <w:highlight w:val="none"/>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6</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响应文件的份数</w:t>
            </w:r>
          </w:p>
          <w:p>
            <w:pPr>
              <w:widowControl/>
              <w:wordWrap w:val="0"/>
              <w:spacing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（1）纸质响应文件 </w:t>
            </w:r>
          </w:p>
          <w:p>
            <w:pPr>
              <w:widowControl/>
              <w:wordWrap w:val="0"/>
              <w:spacing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①响应文件正本1 份、副本</w:t>
            </w: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 份。</w:t>
            </w:r>
          </w:p>
          <w:p>
            <w:pPr>
              <w:widowControl/>
              <w:wordWrap w:val="0"/>
              <w:spacing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②可读介质（光盘或U盘）</w:t>
            </w:r>
            <w:r>
              <w:rPr>
                <w:rFonts w:ascii="宋体" w:hAnsi="宋体" w:eastAsia="宋体" w:cs="宋体"/>
                <w:kern w:val="0"/>
                <w:sz w:val="24"/>
                <w:szCs w:val="24"/>
                <w:highlight w:val="none"/>
                <w:u w:val="single"/>
              </w:rPr>
              <w:t>1</w:t>
            </w:r>
            <w:r>
              <w:rPr>
                <w:rFonts w:ascii="宋体" w:hAnsi="宋体" w:eastAsia="宋体" w:cs="宋体"/>
                <w:kern w:val="0"/>
                <w:sz w:val="24"/>
                <w:szCs w:val="24"/>
                <w:highlight w:val="none"/>
              </w:rPr>
              <w:t>份</w:t>
            </w:r>
            <w:r>
              <w:rPr>
                <w:rFonts w:hint="eastAsia" w:ascii="宋体" w:hAnsi="宋体" w:eastAsia="宋体" w:cs="宋体"/>
                <w:kern w:val="0"/>
                <w:sz w:val="24"/>
                <w:szCs w:val="24"/>
                <w:highlight w: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7</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谈判过程中可能发生实质性变动的内容：</w:t>
            </w:r>
          </w:p>
          <w:p>
            <w:pPr>
              <w:widowControl/>
              <w:spacing w:line="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8</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wordWrap w:val="0"/>
              <w:spacing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信息公告指定媒体（以下简称：“指定媒体”）：</w:t>
            </w:r>
          </w:p>
          <w:p>
            <w:pPr>
              <w:widowControl/>
              <w:wordWrap w:val="0"/>
              <w:spacing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中国政府采购网，网址www.ccgp.gov.cn。</w:t>
            </w:r>
          </w:p>
          <w:p>
            <w:pPr>
              <w:widowControl/>
              <w:wordWrap w:val="0"/>
              <w:spacing w:line="75" w:lineRule="atLeast"/>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9</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本项目监督管理部门：</w:t>
            </w:r>
          </w:p>
          <w:p>
            <w:pPr>
              <w:widowControl/>
              <w:spacing w:line="75"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泉州师范学院</w:t>
            </w:r>
            <w:r>
              <w:rPr>
                <w:rFonts w:ascii="宋体" w:hAnsi="宋体" w:eastAsia="宋体" w:cs="宋体"/>
                <w:kern w:val="0"/>
                <w:sz w:val="24"/>
                <w:szCs w:val="24"/>
                <w:highlight w: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10</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履约保证金：</w:t>
            </w:r>
          </w:p>
          <w:tbl>
            <w:tblPr>
              <w:tblStyle w:val="10"/>
              <w:tblW w:w="6954"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91"/>
              <w:gridCol w:w="1391"/>
              <w:gridCol w:w="41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391" w:type="dxa"/>
                  <w:vAlign w:val="center"/>
                </w:tcPr>
                <w:p>
                  <w:pPr>
                    <w:widowControl/>
                    <w:jc w:val="center"/>
                    <w:rPr>
                      <w:b/>
                      <w:highlight w:val="none"/>
                    </w:rPr>
                  </w:pPr>
                  <w:r>
                    <w:rPr>
                      <w:rFonts w:ascii="宋体" w:hAnsi="宋体" w:eastAsia="宋体" w:cs="宋体"/>
                      <w:b/>
                      <w:kern w:val="0"/>
                      <w:sz w:val="24"/>
                      <w:szCs w:val="24"/>
                      <w:highlight w:val="none"/>
                    </w:rPr>
                    <w:t>包号</w:t>
                  </w:r>
                </w:p>
              </w:tc>
              <w:tc>
                <w:tcPr>
                  <w:tcW w:w="1391" w:type="dxa"/>
                  <w:vAlign w:val="center"/>
                </w:tcPr>
                <w:p>
                  <w:pPr>
                    <w:widowControl/>
                    <w:jc w:val="center"/>
                    <w:rPr>
                      <w:b/>
                      <w:highlight w:val="none"/>
                    </w:rPr>
                  </w:pPr>
                  <w:r>
                    <w:rPr>
                      <w:rFonts w:ascii="宋体" w:hAnsi="宋体" w:eastAsia="宋体" w:cs="宋体"/>
                      <w:b/>
                      <w:kern w:val="0"/>
                      <w:sz w:val="24"/>
                      <w:szCs w:val="24"/>
                      <w:highlight w:val="none"/>
                    </w:rPr>
                    <w:t>履约保证金比例</w:t>
                  </w:r>
                </w:p>
              </w:tc>
              <w:tc>
                <w:tcPr>
                  <w:tcW w:w="4172" w:type="dxa"/>
                  <w:vAlign w:val="center"/>
                </w:tcPr>
                <w:p>
                  <w:pPr>
                    <w:widowControl/>
                    <w:jc w:val="center"/>
                    <w:rPr>
                      <w:b/>
                      <w:highlight w:val="none"/>
                    </w:rPr>
                  </w:pPr>
                  <w:r>
                    <w:rPr>
                      <w:rFonts w:ascii="宋体" w:hAnsi="宋体" w:eastAsia="宋体" w:cs="宋体"/>
                      <w:b/>
                      <w:kern w:val="0"/>
                      <w:sz w:val="24"/>
                      <w:szCs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391" w:type="dxa"/>
                  <w:vAlign w:val="center"/>
                </w:tcPr>
                <w:p>
                  <w:pPr>
                    <w:widowControl/>
                    <w:jc w:val="center"/>
                    <w:rPr>
                      <w:highlight w:val="none"/>
                    </w:rPr>
                  </w:pPr>
                  <w:r>
                    <w:rPr>
                      <w:rFonts w:ascii="宋体" w:hAnsi="宋体" w:eastAsia="宋体" w:cs="宋体"/>
                      <w:kern w:val="0"/>
                      <w:sz w:val="24"/>
                      <w:szCs w:val="24"/>
                      <w:highlight w:val="none"/>
                    </w:rPr>
                    <w:t>1</w:t>
                  </w:r>
                </w:p>
              </w:tc>
              <w:tc>
                <w:tcPr>
                  <w:tcW w:w="1391" w:type="dxa"/>
                  <w:vAlign w:val="center"/>
                </w:tcPr>
                <w:p>
                  <w:pPr>
                    <w:widowControl/>
                    <w:jc w:val="center"/>
                    <w:rPr>
                      <w:highlight w:val="none"/>
                    </w:rPr>
                  </w:pPr>
                  <w:r>
                    <w:rPr>
                      <w:rFonts w:hint="eastAsia" w:ascii="宋体" w:hAnsi="宋体" w:cs="宋体"/>
                      <w:kern w:val="0"/>
                      <w:sz w:val="24"/>
                      <w:szCs w:val="24"/>
                      <w:highlight w:val="none"/>
                    </w:rPr>
                    <w:t>3</w:t>
                  </w:r>
                </w:p>
              </w:tc>
              <w:tc>
                <w:tcPr>
                  <w:tcW w:w="4172" w:type="dxa"/>
                  <w:vAlign w:val="center"/>
                </w:tcPr>
                <w:p>
                  <w:pPr>
                    <w:widowControl/>
                    <w:jc w:val="left"/>
                    <w:rPr>
                      <w:highlight w:val="none"/>
                    </w:rPr>
                  </w:pPr>
                  <w:r>
                    <w:rPr>
                      <w:rFonts w:hint="eastAsia" w:ascii="宋体" w:hAnsi="宋体" w:eastAsia="宋体" w:cs="宋体"/>
                      <w:kern w:val="0"/>
                      <w:sz w:val="24"/>
                      <w:szCs w:val="24"/>
                      <w:highlight w:val="none"/>
                    </w:rPr>
                    <w:t>成交供应商在签订合同前应向采购人缴纳合同金额约3%的履约及质量保证金。该保证金在成交供应商供应的货物全部验收合格后质保期期满且无质量及售后服务问题时无息退还。</w:t>
                  </w:r>
                </w:p>
              </w:tc>
            </w:tr>
          </w:tbl>
          <w:p>
            <w:pPr>
              <w:widowControl/>
              <w:spacing w:line="75" w:lineRule="atLeast"/>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11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根据采购项目特点或政策需要补充的其他新增内容：</w:t>
            </w:r>
          </w:p>
          <w:p>
            <w:pPr>
              <w:widowControl/>
              <w:wordWrap w:val="0"/>
              <w:spacing w:line="10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(1)本项目代理服务费由成交供应商支付。</w:t>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t>(2)其他：收费标准参照国家计委“计价格【2002】1980号”文件规定的标准收费</w:t>
            </w:r>
            <w:r>
              <w:rPr>
                <w:rFonts w:hint="eastAsia" w:ascii="宋体" w:hAnsi="宋体" w:eastAsia="宋体" w:cs="宋体"/>
                <w:kern w:val="0"/>
                <w:sz w:val="24"/>
                <w:szCs w:val="24"/>
                <w:highlight w:val="none"/>
              </w:rPr>
              <w:t>，不足3000元按3000元收取。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12</w:t>
            </w:r>
          </w:p>
        </w:tc>
        <w:tc>
          <w:tcPr>
            <w:tcW w:w="76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highlight w:val="none"/>
              </w:rPr>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是否组织现场考察或召开开标前答疑会：否</w:t>
            </w:r>
            <w:r>
              <w:rPr>
                <w:rFonts w:ascii="宋体" w:hAnsi="宋体" w:eastAsia="宋体" w:cs="宋体"/>
                <w:kern w:val="0"/>
                <w:sz w:val="24"/>
                <w:szCs w:val="24"/>
                <w:highlight w:val="none"/>
              </w:rPr>
              <w:t>。</w:t>
            </w:r>
          </w:p>
        </w:tc>
      </w:tr>
    </w:tbl>
    <w:p>
      <w:pPr>
        <w:rPr>
          <w:rFonts w:ascii="宋体" w:hAnsi="宋体" w:eastAsia="宋体" w:cs="宋体"/>
          <w:b/>
          <w:bCs/>
          <w:kern w:val="0"/>
          <w:sz w:val="24"/>
          <w:szCs w:val="24"/>
          <w:highlight w:val="none"/>
        </w:rPr>
      </w:pPr>
      <w:r>
        <w:rPr>
          <w:rFonts w:ascii="宋体" w:hAnsi="宋体" w:eastAsia="宋体" w:cs="宋体"/>
          <w:b/>
          <w:bCs/>
          <w:kern w:val="0"/>
          <w:sz w:val="24"/>
          <w:szCs w:val="24"/>
          <w:highlight w:val="none"/>
        </w:rPr>
        <w:br w:type="page"/>
      </w:r>
    </w:p>
    <w:p>
      <w:pPr>
        <w:widowControl/>
        <w:spacing w:before="75" w:after="75" w:line="435" w:lineRule="atLeast"/>
        <w:jc w:val="left"/>
        <w:outlineLvl w:val="2"/>
        <w:rPr>
          <w:rFonts w:ascii="宋体" w:hAnsi="宋体" w:eastAsia="宋体" w:cs="宋体"/>
          <w:kern w:val="0"/>
          <w:sz w:val="24"/>
          <w:szCs w:val="24"/>
          <w:highlight w:val="none"/>
        </w:rPr>
      </w:pPr>
      <w:r>
        <w:rPr>
          <w:rFonts w:ascii="宋体" w:hAnsi="宋体" w:eastAsia="宋体" w:cs="宋体"/>
          <w:b/>
          <w:bCs/>
          <w:kern w:val="0"/>
          <w:sz w:val="24"/>
          <w:szCs w:val="24"/>
          <w:highlight w:val="none"/>
        </w:rPr>
        <w:t>专项附件：       评定成交的标准和方法</w:t>
      </w:r>
    </w:p>
    <w:p>
      <w:pPr>
        <w:widowControl/>
        <w:spacing w:before="75" w:after="75" w:line="435" w:lineRule="atLeast"/>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line="405" w:lineRule="atLeast"/>
        <w:jc w:val="center"/>
        <w:outlineLvl w:val="3"/>
        <w:rPr>
          <w:rFonts w:ascii="宋体" w:hAnsi="宋体" w:eastAsia="宋体" w:cs="宋体"/>
          <w:kern w:val="0"/>
          <w:sz w:val="24"/>
          <w:szCs w:val="24"/>
          <w:highlight w:val="none"/>
        </w:rPr>
      </w:pPr>
      <w:r>
        <w:rPr>
          <w:rFonts w:ascii="宋体" w:hAnsi="宋体" w:eastAsia="宋体" w:cs="宋体"/>
          <w:b/>
          <w:bCs/>
          <w:kern w:val="0"/>
          <w:sz w:val="24"/>
          <w:szCs w:val="24"/>
          <w:highlight w:val="none"/>
        </w:rPr>
        <w:t>一、谈判小组</w:t>
      </w:r>
    </w:p>
    <w:p>
      <w:pPr>
        <w:widowControl/>
        <w:spacing w:before="75" w:after="75" w:line="40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05" w:lineRule="atLeast"/>
        <w:ind w:firstLine="240"/>
        <w:jc w:val="left"/>
        <w:rPr>
          <w:rFonts w:ascii="宋体" w:hAnsi="宋体" w:eastAsia="宋体" w:cs="宋体"/>
          <w:kern w:val="0"/>
          <w:sz w:val="24"/>
          <w:szCs w:val="24"/>
          <w:highlight w:val="none"/>
        </w:rPr>
      </w:pPr>
      <w:r>
        <w:rPr>
          <w:rFonts w:ascii="宋体" w:hAnsi="宋体" w:eastAsia="宋体" w:cs="宋体"/>
          <w:kern w:val="0"/>
          <w:sz w:val="24"/>
          <w:szCs w:val="24"/>
          <w:highlight w:val="none"/>
        </w:rPr>
        <w:t>1.1采购人根据项目的特点依法组建谈判小组。</w:t>
      </w:r>
    </w:p>
    <w:p>
      <w:pPr>
        <w:widowControl/>
        <w:spacing w:before="75" w:after="75" w:line="405" w:lineRule="atLeast"/>
        <w:ind w:firstLine="240"/>
        <w:jc w:val="left"/>
        <w:rPr>
          <w:rFonts w:ascii="宋体" w:hAnsi="宋体" w:eastAsia="宋体" w:cs="宋体"/>
          <w:kern w:val="0"/>
          <w:sz w:val="24"/>
          <w:szCs w:val="24"/>
          <w:highlight w:val="none"/>
        </w:rPr>
      </w:pPr>
      <w:r>
        <w:rPr>
          <w:rFonts w:ascii="宋体" w:hAnsi="宋体" w:eastAsia="宋体" w:cs="宋体"/>
          <w:kern w:val="0"/>
          <w:sz w:val="24"/>
          <w:szCs w:val="24"/>
          <w:highlight w:val="none"/>
        </w:rPr>
        <w:t>1.2谈判小组由采购人代表和评审专家两部分（以下简称“评委”）共</w:t>
      </w:r>
      <w:r>
        <w:rPr>
          <w:rFonts w:ascii="宋体" w:hAnsi="宋体" w:eastAsia="宋体" w:cs="宋体"/>
          <w:kern w:val="0"/>
          <w:sz w:val="24"/>
          <w:szCs w:val="24"/>
          <w:highlight w:val="none"/>
          <w:u w:val="single"/>
        </w:rPr>
        <w:t>3</w:t>
      </w:r>
      <w:r>
        <w:rPr>
          <w:rFonts w:ascii="宋体" w:hAnsi="宋体" w:eastAsia="宋体" w:cs="宋体"/>
          <w:kern w:val="0"/>
          <w:sz w:val="24"/>
          <w:szCs w:val="24"/>
          <w:highlight w:val="none"/>
        </w:rPr>
        <w:t>人组成，其中：采购人代表</w:t>
      </w:r>
      <w:r>
        <w:rPr>
          <w:rFonts w:ascii="宋体" w:hAnsi="宋体" w:eastAsia="宋体" w:cs="宋体"/>
          <w:kern w:val="0"/>
          <w:sz w:val="24"/>
          <w:szCs w:val="24"/>
          <w:highlight w:val="none"/>
          <w:u w:val="single"/>
        </w:rPr>
        <w:t>1</w:t>
      </w:r>
      <w:r>
        <w:rPr>
          <w:rFonts w:ascii="宋体" w:hAnsi="宋体" w:eastAsia="宋体" w:cs="宋体"/>
          <w:kern w:val="0"/>
          <w:sz w:val="24"/>
          <w:szCs w:val="24"/>
          <w:highlight w:val="none"/>
        </w:rPr>
        <w:t>人由采购人派出，评审专家</w:t>
      </w:r>
      <w:r>
        <w:rPr>
          <w:rFonts w:ascii="宋体" w:hAnsi="宋体" w:eastAsia="宋体" w:cs="宋体"/>
          <w:kern w:val="0"/>
          <w:sz w:val="24"/>
          <w:szCs w:val="24"/>
          <w:highlight w:val="none"/>
          <w:u w:val="single"/>
        </w:rPr>
        <w:t>2</w:t>
      </w:r>
      <w:r>
        <w:rPr>
          <w:rFonts w:ascii="宋体" w:hAnsi="宋体" w:eastAsia="宋体" w:cs="宋体"/>
          <w:kern w:val="0"/>
          <w:sz w:val="24"/>
          <w:szCs w:val="24"/>
          <w:highlight w:val="none"/>
        </w:rPr>
        <w:t>人由采购评审专家库产生。达到公开招标数额标准的货物或者服务采购项目，或者达到招标规模标准的政府采购工程，竞争性谈判小组应当由5人或以上单数组成。</w:t>
      </w:r>
    </w:p>
    <w:p>
      <w:pPr>
        <w:widowControl/>
        <w:spacing w:before="75" w:after="75" w:line="405" w:lineRule="atLeast"/>
        <w:ind w:firstLine="240"/>
        <w:jc w:val="left"/>
        <w:rPr>
          <w:rFonts w:ascii="宋体" w:hAnsi="宋体" w:eastAsia="宋体" w:cs="宋体"/>
          <w:kern w:val="0"/>
          <w:sz w:val="24"/>
          <w:szCs w:val="24"/>
          <w:highlight w:val="none"/>
        </w:rPr>
      </w:pPr>
      <w:r>
        <w:rPr>
          <w:rFonts w:ascii="宋体" w:hAnsi="宋体" w:eastAsia="宋体" w:cs="宋体"/>
          <w:kern w:val="0"/>
          <w:sz w:val="24"/>
          <w:szCs w:val="24"/>
          <w:highlight w:val="none"/>
        </w:rPr>
        <w:t>1.3谈判小组负责具体谈判和评审事务，并按照下列原则依法独立履行有关职责：</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1.3.1评审应保护国家利益、社会公共利益和各方当事人合法权益，提高采购效益，保证项目质量。</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1.3.2评审应遵循公平、公正、科学、严谨和择优原则。</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1.3.3评审的依据是谈判文件和响应文件，谈判文件中没有规定的评审标准不得作为评审依据。</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1.3.4谈判小组应按照谈判文件规定推荐成交候选供应商或根据采购人的授权确定成交供应商。</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1.3.5评审应遵守下列评审纪律：</w:t>
      </w:r>
    </w:p>
    <w:p>
      <w:pPr>
        <w:widowControl/>
        <w:spacing w:before="75" w:after="75" w:line="40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①</w:t>
      </w:r>
      <w:r>
        <w:rPr>
          <w:rFonts w:ascii="宋体" w:hAnsi="宋体" w:eastAsia="宋体" w:cs="宋体"/>
          <w:kern w:val="0"/>
          <w:sz w:val="24"/>
          <w:szCs w:val="24"/>
          <w:highlight w:val="none"/>
        </w:rPr>
        <w:t>评审情况不得私自外泄，有关信息由采购人或其委托的代理机构统一对外发布。</w:t>
      </w:r>
    </w:p>
    <w:p>
      <w:pPr>
        <w:widowControl/>
        <w:spacing w:before="75" w:after="75" w:line="40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②</w:t>
      </w:r>
      <w:r>
        <w:rPr>
          <w:rFonts w:ascii="宋体" w:hAnsi="宋体" w:eastAsia="宋体" w:cs="宋体"/>
          <w:kern w:val="0"/>
          <w:sz w:val="24"/>
          <w:szCs w:val="24"/>
          <w:highlight w:val="none"/>
        </w:rPr>
        <w:t>对采购人或供应商提供的要求保密的资料，不得摘记翻印和外传。</w:t>
      </w:r>
    </w:p>
    <w:p>
      <w:pPr>
        <w:widowControl/>
        <w:spacing w:before="75" w:after="75" w:line="40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③</w:t>
      </w:r>
      <w:r>
        <w:rPr>
          <w:rFonts w:ascii="宋体" w:hAnsi="宋体" w:eastAsia="宋体" w:cs="宋体"/>
          <w:kern w:val="0"/>
          <w:sz w:val="24"/>
          <w:szCs w:val="24"/>
          <w:highlight w:val="none"/>
        </w:rPr>
        <w:t>不得收受供应商或有关人员的任何礼物，不得串联鼓动其他人袒护某供应商。若与供应商存在利害关系，则应主动声明并回避。</w:t>
      </w:r>
    </w:p>
    <w:p>
      <w:pPr>
        <w:widowControl/>
        <w:spacing w:before="75" w:after="75" w:line="40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④</w:t>
      </w:r>
      <w:r>
        <w:rPr>
          <w:rFonts w:ascii="宋体" w:hAnsi="宋体" w:eastAsia="宋体" w:cs="宋体"/>
          <w:kern w:val="0"/>
          <w:sz w:val="24"/>
          <w:szCs w:val="24"/>
          <w:highlight w:val="none"/>
        </w:rPr>
        <w:t>全体谈判小组成员应按照谈判文件规定进行评审，一切认定事项应查有实据且不得弄虚作假。</w:t>
      </w:r>
    </w:p>
    <w:p>
      <w:pPr>
        <w:widowControl/>
        <w:spacing w:before="75" w:after="75" w:line="40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⑤</w:t>
      </w:r>
      <w:r>
        <w:rPr>
          <w:rFonts w:ascii="宋体" w:hAnsi="宋体" w:eastAsia="宋体" w:cs="宋体"/>
          <w:kern w:val="0"/>
          <w:sz w:val="24"/>
          <w:szCs w:val="24"/>
          <w:highlight w:val="none"/>
        </w:rPr>
        <w:t>评审中应充分发扬民主，推荐成交供应商候选人或根据采购人授权确定成交供应商后要服从评审报告。</w:t>
      </w:r>
    </w:p>
    <w:p>
      <w:pPr>
        <w:widowControl/>
        <w:spacing w:before="75" w:after="75" w:line="405" w:lineRule="atLeast"/>
        <w:ind w:firstLine="480"/>
        <w:jc w:val="lef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w:t>
      </w:r>
      <w:r>
        <w:rPr>
          <w:rFonts w:ascii="宋体" w:hAnsi="宋体" w:eastAsia="宋体" w:cs="宋体"/>
          <w:b/>
          <w:bCs/>
          <w:kern w:val="0"/>
          <w:sz w:val="24"/>
          <w:szCs w:val="24"/>
          <w:highlight w:val="none"/>
        </w:rPr>
        <w:t>对违反评审纪律的评委，将取消其评委资格，对评审工作造成严重损失者将予以通报批评乃至追究法律责任。</w:t>
      </w:r>
    </w:p>
    <w:p>
      <w:pPr>
        <w:widowControl/>
        <w:spacing w:before="75" w:after="75" w:line="405" w:lineRule="atLeast"/>
        <w:ind w:firstLine="480"/>
        <w:jc w:val="left"/>
        <w:rPr>
          <w:rFonts w:ascii="宋体" w:hAnsi="宋体" w:eastAsia="宋体" w:cs="宋体"/>
          <w:b/>
          <w:bCs/>
          <w:kern w:val="0"/>
          <w:sz w:val="24"/>
          <w:szCs w:val="24"/>
          <w:highlight w:val="none"/>
        </w:rPr>
      </w:pPr>
    </w:p>
    <w:p>
      <w:pPr>
        <w:widowControl/>
        <w:spacing w:before="75" w:after="75" w:line="405" w:lineRule="atLeast"/>
        <w:jc w:val="center"/>
        <w:outlineLvl w:val="3"/>
        <w:rPr>
          <w:rFonts w:ascii="宋体" w:hAnsi="宋体" w:eastAsia="宋体" w:cs="宋体"/>
          <w:kern w:val="0"/>
          <w:sz w:val="24"/>
          <w:szCs w:val="24"/>
          <w:highlight w:val="none"/>
        </w:rPr>
      </w:pPr>
      <w:r>
        <w:rPr>
          <w:rFonts w:ascii="宋体" w:hAnsi="宋体" w:eastAsia="宋体" w:cs="宋体"/>
          <w:kern w:val="0"/>
          <w:sz w:val="24"/>
          <w:szCs w:val="24"/>
          <w:highlight w:val="none"/>
        </w:rPr>
        <w:t>二、</w:t>
      </w:r>
      <w:r>
        <w:rPr>
          <w:rFonts w:ascii="宋体" w:hAnsi="宋体" w:eastAsia="宋体" w:cs="宋体"/>
          <w:b/>
          <w:bCs/>
          <w:kern w:val="0"/>
          <w:sz w:val="24"/>
          <w:szCs w:val="24"/>
          <w:highlight w:val="none"/>
        </w:rPr>
        <w:t>谈判程序</w:t>
      </w:r>
    </w:p>
    <w:p>
      <w:pPr>
        <w:widowControl/>
        <w:spacing w:before="75" w:after="75" w:line="40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05" w:lineRule="atLeast"/>
        <w:ind w:firstLine="240"/>
        <w:jc w:val="left"/>
        <w:rPr>
          <w:rFonts w:ascii="宋体" w:hAnsi="宋体" w:eastAsia="宋体" w:cs="宋体"/>
          <w:kern w:val="0"/>
          <w:sz w:val="24"/>
          <w:szCs w:val="24"/>
          <w:highlight w:val="none"/>
        </w:rPr>
      </w:pPr>
      <w:r>
        <w:rPr>
          <w:rFonts w:ascii="宋体" w:hAnsi="宋体" w:eastAsia="宋体" w:cs="宋体"/>
          <w:kern w:val="0"/>
          <w:sz w:val="24"/>
          <w:szCs w:val="24"/>
          <w:highlight w:val="none"/>
        </w:rPr>
        <w:t>2.1谈判程序按照谈判文件第二章第2节“竞争性谈判须知”第14条“谈判程序以及评定成交的标准”的相关条款规定执行。</w:t>
      </w:r>
    </w:p>
    <w:p>
      <w:pPr>
        <w:widowControl/>
        <w:spacing w:before="75" w:after="75" w:line="405" w:lineRule="atLeast"/>
        <w:ind w:firstLine="240"/>
        <w:jc w:val="left"/>
        <w:rPr>
          <w:rFonts w:ascii="宋体" w:hAnsi="宋体" w:eastAsia="宋体" w:cs="宋体"/>
          <w:kern w:val="0"/>
          <w:sz w:val="24"/>
          <w:szCs w:val="24"/>
          <w:highlight w:val="none"/>
        </w:rPr>
      </w:pPr>
      <w:r>
        <w:rPr>
          <w:rFonts w:ascii="宋体" w:hAnsi="宋体" w:eastAsia="宋体" w:cs="宋体"/>
          <w:kern w:val="0"/>
          <w:sz w:val="24"/>
          <w:szCs w:val="24"/>
          <w:highlight w:val="none"/>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05" w:lineRule="atLeast"/>
        <w:ind w:firstLine="240"/>
        <w:jc w:val="left"/>
        <w:rPr>
          <w:rFonts w:ascii="宋体" w:hAnsi="宋体" w:eastAsia="宋体" w:cs="宋体"/>
          <w:kern w:val="0"/>
          <w:sz w:val="24"/>
          <w:szCs w:val="24"/>
          <w:highlight w:val="none"/>
        </w:rPr>
      </w:pPr>
      <w:r>
        <w:rPr>
          <w:rFonts w:ascii="宋体" w:hAnsi="宋体" w:eastAsia="宋体" w:cs="宋体"/>
          <w:kern w:val="0"/>
          <w:sz w:val="24"/>
          <w:szCs w:val="24"/>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widowControl/>
        <w:spacing w:before="75" w:after="75" w:line="405" w:lineRule="atLeast"/>
        <w:ind w:firstLine="240"/>
        <w:jc w:val="left"/>
        <w:rPr>
          <w:rFonts w:ascii="宋体" w:hAnsi="宋体" w:eastAsia="宋体" w:cs="宋体"/>
          <w:kern w:val="0"/>
          <w:sz w:val="24"/>
          <w:szCs w:val="24"/>
          <w:highlight w:val="none"/>
        </w:rPr>
      </w:pPr>
      <w:r>
        <w:rPr>
          <w:rFonts w:ascii="宋体" w:hAnsi="宋体" w:eastAsia="宋体" w:cs="宋体"/>
          <w:kern w:val="0"/>
          <w:sz w:val="24"/>
          <w:szCs w:val="24"/>
          <w:highlight w:val="none"/>
        </w:rPr>
        <w:t>2.3只有资格审查和实质性响应审查均合格且按规定提交最后报价的合格供应商才能参加评定成交的最后价格排序和成交候选人推荐。</w:t>
      </w:r>
    </w:p>
    <w:p>
      <w:pPr>
        <w:widowControl/>
        <w:spacing w:before="75" w:after="75" w:line="405" w:lineRule="atLeast"/>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line="405" w:lineRule="atLeast"/>
        <w:jc w:val="center"/>
        <w:outlineLvl w:val="3"/>
        <w:rPr>
          <w:rFonts w:ascii="宋体" w:hAnsi="宋体" w:eastAsia="宋体" w:cs="宋体"/>
          <w:kern w:val="0"/>
          <w:sz w:val="24"/>
          <w:szCs w:val="24"/>
          <w:highlight w:val="none"/>
        </w:rPr>
      </w:pPr>
      <w:r>
        <w:rPr>
          <w:rFonts w:ascii="宋体" w:hAnsi="宋体" w:eastAsia="宋体" w:cs="宋体"/>
          <w:b/>
          <w:bCs/>
          <w:kern w:val="0"/>
          <w:sz w:val="24"/>
          <w:szCs w:val="24"/>
          <w:highlight w:val="none"/>
        </w:rPr>
        <w:t>三、最低评审价法和成交候选人推荐</w:t>
      </w:r>
    </w:p>
    <w:p>
      <w:pPr>
        <w:widowControl/>
        <w:spacing w:before="75" w:after="75" w:line="40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05" w:lineRule="atLeast"/>
        <w:ind w:firstLine="240"/>
        <w:jc w:val="left"/>
        <w:rPr>
          <w:rFonts w:ascii="宋体" w:hAnsi="宋体" w:eastAsia="宋体" w:cs="宋体"/>
          <w:kern w:val="0"/>
          <w:sz w:val="24"/>
          <w:szCs w:val="24"/>
          <w:highlight w:val="none"/>
        </w:rPr>
      </w:pPr>
      <w:r>
        <w:rPr>
          <w:rFonts w:ascii="宋体" w:hAnsi="宋体" w:eastAsia="宋体" w:cs="宋体"/>
          <w:kern w:val="0"/>
          <w:sz w:val="24"/>
          <w:szCs w:val="24"/>
          <w:highlight w:val="none"/>
        </w:rPr>
        <w:t>3.1谈判小组将采用最低评审价法对提交最后报价的合格供应商的响应文件和最后报价进行评审，并推荐成交候选人。如果谈判项目有多个合同包，则按相应合同包分别进行，具体评审的标准和方法如下：</w:t>
      </w:r>
    </w:p>
    <w:p>
      <w:pPr>
        <w:widowControl/>
        <w:spacing w:line="405" w:lineRule="atLeast"/>
        <w:ind w:firstLine="465"/>
        <w:jc w:val="left"/>
        <w:rPr>
          <w:rFonts w:ascii="宋体" w:hAnsi="宋体" w:eastAsia="宋体" w:cs="宋体"/>
          <w:kern w:val="0"/>
          <w:sz w:val="24"/>
          <w:szCs w:val="24"/>
          <w:highlight w:val="none"/>
        </w:rPr>
      </w:pPr>
      <w:r>
        <w:rPr>
          <w:rFonts w:ascii="宋体" w:hAnsi="宋体" w:eastAsia="宋体" w:cs="宋体"/>
          <w:kern w:val="0"/>
          <w:sz w:val="24"/>
          <w:szCs w:val="24"/>
          <w:highlight w:val="none"/>
        </w:rPr>
        <w:t>3.1.1根据财政部及福建省财政厅等有关政府采购文件规定执行价格评审优惠政策，价格扣除规则如下：</w:t>
      </w:r>
    </w:p>
    <w:p>
      <w:pPr>
        <w:widowControl/>
        <w:spacing w:before="75" w:after="75" w:line="405" w:lineRule="atLeast"/>
        <w:ind w:firstLine="465"/>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b/>
          <w:bCs/>
          <w:kern w:val="0"/>
          <w:sz w:val="24"/>
          <w:szCs w:val="24"/>
          <w:highlight w:val="none"/>
        </w:rPr>
        <w:t>包1:</w:t>
      </w:r>
    </w:p>
    <w:p>
      <w:pPr>
        <w:widowControl/>
        <w:numPr>
          <w:ilvl w:val="0"/>
          <w:numId w:val="2"/>
        </w:numPr>
        <w:spacing w:before="75" w:after="75" w:line="405" w:lineRule="atLeast"/>
        <w:ind w:firstLine="465"/>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对小型、微型企业产品（限货物）的价格给予6%的扣除。 对监狱企业产品（限货物）的价格给予6%的扣除。 残疾人福利性单位提供本单位制造的货物、承担的工程或服务，或提供其他残疾人福利性单位制造的货物（不包括使用非残疾人福利性单位注册商标的货物），对相应货物、工程或服务的价格给予</w:t>
      </w:r>
      <w:r>
        <w:rPr>
          <w:rFonts w:ascii="宋体" w:hAnsi="宋体" w:eastAsia="宋体" w:cs="宋体"/>
          <w:kern w:val="0"/>
          <w:sz w:val="24"/>
          <w:szCs w:val="24"/>
          <w:highlight w:val="none"/>
        </w:rPr>
        <w:t>6</w:t>
      </w:r>
      <w:r>
        <w:rPr>
          <w:rFonts w:hint="eastAsia" w:ascii="宋体" w:hAnsi="宋体" w:eastAsia="宋体" w:cs="宋体"/>
          <w:kern w:val="0"/>
          <w:sz w:val="24"/>
          <w:szCs w:val="24"/>
          <w:highlight w:val="none"/>
        </w:rPr>
        <w:t>%的扣除。</w:t>
      </w:r>
    </w:p>
    <w:p>
      <w:pPr>
        <w:widowControl/>
        <w:numPr>
          <w:ilvl w:val="0"/>
          <w:numId w:val="2"/>
        </w:numPr>
        <w:spacing w:before="75" w:after="75" w:line="405" w:lineRule="atLeast"/>
        <w:ind w:firstLine="465"/>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根据财政部，工信部印发的《政府采购促进中小企业发展暂行办法》（财库【2011】181号），凡参加此次投标的小型和微型企业提供本企业制造的或者提供其他小型、微型企业制造的产品，其报价部分给予6%的价格扣除优惠(联合体2%的价格扣除)，但必须同时提供如下证明材料，否则不予价格扣除。若同一合同包内的小型、微型企业产品仅是构成报价产品的部件、组件或零件的，则该报价产品不给予价格扣除。①、中小企业声明函（格式附后）。②、由企业所在地的县级以上中小企业主管部门出具的属于小型、微型企业制造的产品证明文件。中小企业划分标准详见工信部联企业[2011]300号文件。③、符合中小企业划分标准（投标供应商参照工信部联企业[2011]300号文件规定声明属何类划型标准规定）规定，且列明所属行业，并根据《工信部联企业[2011]300号文件规定声明属何类划型标准规定》中“各行业划分标准”要求提供证明材料；A、涉及营业收入、资产总额划型的企业：应提供该企业经有资质的第三方会计师事务所审计的上一年度财务会计报表（应能体现营业收入、资产总额）；B、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3、根据《财政部民政部中国残疾人联合会关于促进残疾人就业政府采购政策的通知》（财库〔2017〕141号）规定，在政府采购活动中，残疾人福利性单位视同小型、微型企业，符合条件的残疾人福利性单位在参加政府采购活动时，给予其6%的价格扣除。残疾人福利性单位属于小型、微型企业的，不重复享受政策。残疾人福利性单位认定标准及《残疾人福利性单位声明函》详见《财政部民政部中国残疾人联合会关于促进残疾人就业政府采购政策的通知》（财库〔2017〕141号）（网址： http://www.ccgp.gov.cn/zcfg/mof/201709/t20170904_8787205.htm 。</w:t>
      </w:r>
    </w:p>
    <w:p>
      <w:pPr>
        <w:widowControl/>
        <w:numPr>
          <w:ilvl w:val="0"/>
          <w:numId w:val="2"/>
        </w:numPr>
        <w:spacing w:before="75" w:after="75" w:line="405" w:lineRule="atLeast"/>
        <w:ind w:firstLine="465"/>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优先类节能产品、环境标志产品：无。</w:t>
      </w:r>
    </w:p>
    <w:p>
      <w:pPr>
        <w:widowControl/>
        <w:numPr>
          <w:ilvl w:val="0"/>
          <w:numId w:val="2"/>
        </w:numPr>
        <w:spacing w:before="75" w:after="75" w:line="405" w:lineRule="atLeast"/>
        <w:ind w:firstLine="465"/>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其他：无。</w:t>
      </w:r>
    </w:p>
    <w:p>
      <w:pPr>
        <w:widowControl/>
        <w:spacing w:before="75" w:after="75" w:line="405" w:lineRule="atLeast"/>
        <w:ind w:firstLine="465"/>
        <w:jc w:val="left"/>
        <w:rPr>
          <w:rFonts w:ascii="宋体" w:hAnsi="宋体" w:eastAsia="宋体" w:cs="宋体"/>
          <w:kern w:val="0"/>
          <w:sz w:val="24"/>
          <w:szCs w:val="24"/>
          <w:highlight w:val="none"/>
        </w:rPr>
      </w:pPr>
      <w:r>
        <w:rPr>
          <w:rFonts w:ascii="宋体" w:hAnsi="宋体" w:eastAsia="宋体" w:cs="宋体"/>
          <w:kern w:val="0"/>
          <w:sz w:val="24"/>
          <w:szCs w:val="24"/>
          <w:highlight w:val="none"/>
        </w:rPr>
        <w:t>3.1.2合格供应商提交的最后报价按照上文3.1.1款规定的价格扣除规则计算后，得出的价格称为最后报价评审价。</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（1）谈判文件可以约定出现并列最低评审价情形时的优先顺序规则，具体规则为：无。</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（2）谈判文件未约定优先顺序规则时，则由谈判小组中的采购人代表从并列最低评审价名单中自行选择确定优先顺序</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（3）采购人代表放弃自行选择确定权利的，则通过随机抽取方式确定优先顺序。</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05" w:lineRule="atLeast"/>
        <w:jc w:val="center"/>
        <w:outlineLvl w:val="3"/>
        <w:rPr>
          <w:rFonts w:ascii="宋体" w:hAnsi="宋体" w:eastAsia="宋体" w:cs="宋体"/>
          <w:kern w:val="0"/>
          <w:sz w:val="24"/>
          <w:szCs w:val="24"/>
          <w:highlight w:val="none"/>
        </w:rPr>
      </w:pPr>
      <w:r>
        <w:rPr>
          <w:rFonts w:ascii="宋体" w:hAnsi="宋体" w:eastAsia="宋体" w:cs="宋体"/>
          <w:b/>
          <w:bCs/>
          <w:kern w:val="0"/>
          <w:sz w:val="24"/>
          <w:szCs w:val="24"/>
          <w:highlight w:val="none"/>
        </w:rPr>
        <w:t>四、评审报告</w:t>
      </w:r>
    </w:p>
    <w:p>
      <w:pPr>
        <w:widowControl/>
        <w:spacing w:before="75" w:after="75" w:line="40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05" w:lineRule="atLeast"/>
        <w:ind w:firstLine="240"/>
        <w:jc w:val="left"/>
        <w:rPr>
          <w:rFonts w:ascii="宋体" w:hAnsi="宋体" w:eastAsia="宋体" w:cs="宋体"/>
          <w:kern w:val="0"/>
          <w:sz w:val="24"/>
          <w:szCs w:val="24"/>
          <w:highlight w:val="none"/>
        </w:rPr>
      </w:pPr>
      <w:r>
        <w:rPr>
          <w:rFonts w:ascii="宋体" w:hAnsi="宋体" w:eastAsia="宋体" w:cs="宋体"/>
          <w:kern w:val="0"/>
          <w:sz w:val="24"/>
          <w:szCs w:val="24"/>
          <w:highlight w:val="none"/>
        </w:rPr>
        <w:t>4.1谈判小组完成评审后，应当编写评审报告并提交给采购人。</w:t>
      </w:r>
    </w:p>
    <w:p>
      <w:pPr>
        <w:widowControl/>
        <w:spacing w:before="75" w:after="75" w:line="405" w:lineRule="atLeast"/>
        <w:ind w:firstLine="240"/>
        <w:jc w:val="left"/>
        <w:rPr>
          <w:rFonts w:ascii="宋体" w:hAnsi="宋体" w:eastAsia="宋体" w:cs="宋体"/>
          <w:kern w:val="0"/>
          <w:sz w:val="24"/>
          <w:szCs w:val="24"/>
          <w:highlight w:val="none"/>
        </w:rPr>
      </w:pPr>
      <w:r>
        <w:rPr>
          <w:rFonts w:ascii="宋体" w:hAnsi="宋体" w:eastAsia="宋体" w:cs="宋体"/>
          <w:kern w:val="0"/>
          <w:sz w:val="24"/>
          <w:szCs w:val="24"/>
          <w:highlight w:val="none"/>
        </w:rPr>
        <w:t>4.2评审报告应当包括以下主要内容：</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（一）邀请供应商参加采购活动的具体方式和相关情况，以及参加采购活动的供应商名单；</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（二）评审日期和地点，谈判小组成员名单；</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（三）评审情况记录和说明，包括对供应商的资格审查情况、供应商响应文件评审情况、谈判情况、报价情况等；</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（四）提出的成交候选人的名单及理由。</w:t>
      </w:r>
    </w:p>
    <w:p>
      <w:pPr>
        <w:widowControl/>
        <w:spacing w:before="75" w:after="75" w:line="405" w:lineRule="atLeast"/>
        <w:ind w:firstLine="240"/>
        <w:jc w:val="left"/>
        <w:rPr>
          <w:rFonts w:ascii="宋体" w:hAnsi="宋体" w:eastAsia="宋体" w:cs="宋体"/>
          <w:kern w:val="0"/>
          <w:sz w:val="24"/>
          <w:szCs w:val="24"/>
          <w:highlight w:val="none"/>
        </w:rPr>
      </w:pPr>
      <w:r>
        <w:rPr>
          <w:rFonts w:ascii="宋体" w:hAnsi="宋体" w:eastAsia="宋体" w:cs="宋体"/>
          <w:kern w:val="0"/>
          <w:sz w:val="24"/>
          <w:szCs w:val="24"/>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05" w:lineRule="atLeast"/>
        <w:jc w:val="center"/>
        <w:outlineLvl w:val="3"/>
        <w:rPr>
          <w:rFonts w:ascii="宋体" w:hAnsi="宋体" w:eastAsia="宋体" w:cs="宋体"/>
          <w:kern w:val="0"/>
          <w:sz w:val="24"/>
          <w:szCs w:val="24"/>
          <w:highlight w:val="none"/>
        </w:rPr>
      </w:pPr>
      <w:r>
        <w:rPr>
          <w:rFonts w:ascii="宋体" w:hAnsi="宋体" w:eastAsia="宋体" w:cs="宋体"/>
          <w:b/>
          <w:bCs/>
          <w:kern w:val="0"/>
          <w:sz w:val="24"/>
          <w:szCs w:val="24"/>
          <w:highlight w:val="none"/>
        </w:rPr>
        <w:t>五、其他规定</w:t>
      </w:r>
    </w:p>
    <w:p>
      <w:pPr>
        <w:widowControl/>
        <w:spacing w:before="75" w:after="75" w:line="40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0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5.1其他规定</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5.1.1评审应全程保密且不得透露给任一供应商或与评审工作无关的人员。</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5.1.</w:t>
      </w: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若供应商有任何试图干扰具体评审事务，影响谈判小组独立履行职责的行为，其响应无效且不予退还谈判保证金。情节严重的，由财政部门列入不良行为记录。</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5.1.4根据采购项目的特点和需要，需要加以详细说明的其他谈判程序规定、要求等内容：</w:t>
      </w:r>
    </w:p>
    <w:p>
      <w:pPr>
        <w:widowControl/>
        <w:spacing w:before="75" w:after="75" w:line="40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无。</w:t>
      </w:r>
    </w:p>
    <w:p>
      <w:pPr>
        <w:widowControl/>
        <w:spacing w:before="75" w:after="75" w:line="435" w:lineRule="atLeast"/>
        <w:jc w:val="left"/>
        <w:rPr>
          <w:rFonts w:ascii="宋体" w:hAnsi="宋体" w:eastAsia="宋体" w:cs="宋体"/>
          <w:kern w:val="0"/>
          <w:sz w:val="24"/>
          <w:szCs w:val="24"/>
          <w:highlight w:val="none"/>
        </w:rPr>
      </w:pPr>
    </w:p>
    <w:p>
      <w:pPr>
        <w:widowControl/>
        <w:spacing w:before="75" w:after="75"/>
        <w:jc w:val="center"/>
        <w:outlineLvl w:val="1"/>
        <w:rPr>
          <w:rFonts w:ascii="宋体" w:hAnsi="宋体" w:eastAsia="宋体" w:cs="宋体"/>
          <w:kern w:val="0"/>
          <w:sz w:val="32"/>
          <w:szCs w:val="32"/>
          <w:highlight w:val="none"/>
        </w:rPr>
      </w:pPr>
      <w:r>
        <w:rPr>
          <w:rFonts w:ascii="宋体" w:hAnsi="宋体" w:eastAsia="宋体" w:cs="宋体"/>
          <w:b/>
          <w:bCs/>
          <w:kern w:val="0"/>
          <w:sz w:val="32"/>
          <w:szCs w:val="32"/>
          <w:highlight w:val="none"/>
        </w:rPr>
        <w:t>第2节  竞争性谈判须知</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center"/>
        <w:outlineLvl w:val="1"/>
        <w:rPr>
          <w:rFonts w:ascii="宋体" w:hAnsi="宋体" w:eastAsia="宋体" w:cs="宋体"/>
          <w:kern w:val="0"/>
          <w:sz w:val="24"/>
          <w:szCs w:val="24"/>
          <w:highlight w:val="none"/>
        </w:rPr>
      </w:pPr>
      <w:r>
        <w:rPr>
          <w:rFonts w:ascii="宋体" w:hAnsi="宋体" w:eastAsia="宋体" w:cs="宋体"/>
          <w:b/>
          <w:bCs/>
          <w:kern w:val="0"/>
          <w:sz w:val="24"/>
          <w:szCs w:val="24"/>
          <w:highlight w:val="none"/>
        </w:rPr>
        <w:t>一、总则</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1.适用范围：</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1.1适用于谈判文件载明项目的采购活动（以下简称：“本次采购活动”）。</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2.定义及要求：</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2.1“采购标的”指谈判文件载明的需要采购的货物、服务、工程。</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2.2“采购人”指本次采购项目的买方、或业主方、或采购人，具体见谈判文件第一章；“采购代理机构”系指接受采购人委托，组织开展竞争性谈判采购活动的代理机构，具体见谈判文件第一章。</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2.3“潜在供应商”按照谈判文件第一章规定进行报名，且有意向参加本项目响应谈判的供应商。</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2.4“供应商”指按照谈判文件第一章规定进行报名，且已经提交响应文件的法人或其他组织或自然人。只有适合自然人参与和承接的政府采购项目，供应商才可以是自然人。</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2.5“单位负责人”指单位法定代表人（供应商为法人的）或法律、法规规定代表单位行使职权的主要负责人（供应商为其他组织的）。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3.合格的供应商：</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3.1一般规定</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3.1.1供应商应当遵守中国的有关法律、法规和规章的规定，参加政府采购活动时已经自觉检查并按照政府采购相关法律规定，主动回避相应利害关系。</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3.1.2为采购项目提供整体设计、规范编制或项目管理、监理、检测等服务的供应商，不得再参加该采购项目除整体设计、规范编制和项目管理、监理、检测等服务之外的其他采购活动</w:t>
      </w:r>
      <w:r>
        <w:rPr>
          <w:rFonts w:ascii="宋体" w:hAnsi="宋体" w:eastAsia="宋体" w:cs="宋体"/>
          <w:b/>
          <w:bCs/>
          <w:kern w:val="0"/>
          <w:sz w:val="24"/>
          <w:szCs w:val="24"/>
          <w:highlight w:val="none"/>
        </w:rPr>
        <w:t>。</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eastAsia="宋体" w:cs="宋体"/>
          <w:b/>
          <w:bCs/>
          <w:kern w:val="0"/>
          <w:sz w:val="24"/>
          <w:szCs w:val="24"/>
          <w:highlight w:val="none"/>
        </w:rPr>
        <w:t>。</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供应商有责任检查自身情况，在响应文件中对是否违反以上一般规定做出如实声明，否则其响应文件将被否决。</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3.2特别规定</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3.2.1供应商的资格要求：详见竞争性谈判须知前附表第1项。</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3.2.2是否接受联合体形式的响应谈判：详见竞争性谈判须知前附表第2项。若接受联合体形式且供应商为联合体，则联合体各方除了应遵守本章第3.1条规定外，还应遵守下列规定：</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（1）联合体各方应提交联合体协议，联合体协议应符合谈判文件规定。</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（2）联合体各方不得再单独参加或与其他供应商另外组成联合体参加同一合同项下的响应谈判。</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（3）联合体各方应共同与采购人签订政府采购合同，就政府采购合同约定的事项对采购人承担连带责任。</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4.参与竞争性谈判费用：</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4.1除法律法规或采购文件另有规定之外，供应商应自行承担其准备与参加竞争性谈判所涉及的一切费用。</w:t>
      </w:r>
    </w:p>
    <w:p>
      <w:pPr>
        <w:widowControl/>
        <w:spacing w:before="75" w:after="75" w:line="435"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center"/>
        <w:outlineLvl w:val="1"/>
        <w:rPr>
          <w:rFonts w:ascii="宋体" w:hAnsi="宋体" w:eastAsia="宋体" w:cs="宋体"/>
          <w:kern w:val="0"/>
          <w:sz w:val="24"/>
          <w:szCs w:val="24"/>
          <w:highlight w:val="none"/>
        </w:rPr>
      </w:pPr>
      <w:r>
        <w:rPr>
          <w:rFonts w:ascii="宋体" w:hAnsi="宋体" w:eastAsia="宋体" w:cs="宋体"/>
          <w:b/>
          <w:bCs/>
          <w:kern w:val="0"/>
          <w:sz w:val="24"/>
          <w:szCs w:val="24"/>
          <w:highlight w:val="none"/>
        </w:rPr>
        <w:t>二、竞争性谈判文件</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5.竞争性谈判文件的组成：</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5.1竞争性谈判文件由下述部分组成：</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第一章 采购公告（或采购邀请书）</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第二章 竞争性谈判须知</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第三章 采购内容及要求</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第四章 合同主要条款及格式</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第五章 首次响应文件格式</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5.2除上述内容以外，采购人、采购代理机构或者谈判小组在采购过程期间对谈判文件所作的澄清、修改或补充，均构成谈判文件的组成部分，对采购人和供应商具有约束力。</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6.竞争性谈判文件的澄清、补充或修改：</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center"/>
        <w:outlineLvl w:val="1"/>
        <w:rPr>
          <w:rFonts w:ascii="宋体" w:hAnsi="宋体" w:eastAsia="宋体" w:cs="宋体"/>
          <w:kern w:val="0"/>
          <w:sz w:val="24"/>
          <w:szCs w:val="24"/>
          <w:highlight w:val="none"/>
        </w:rPr>
      </w:pPr>
      <w:r>
        <w:rPr>
          <w:rFonts w:ascii="宋体" w:hAnsi="宋体" w:eastAsia="宋体" w:cs="宋体"/>
          <w:b/>
          <w:bCs/>
          <w:kern w:val="0"/>
          <w:sz w:val="24"/>
          <w:szCs w:val="24"/>
          <w:highlight w:val="none"/>
        </w:rPr>
        <w:t>三、响应文件编制</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7.应标要求</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宋体" w:hAnsi="宋体" w:eastAsia="宋体" w:cs="宋体"/>
          <w:b/>
          <w:bCs/>
          <w:kern w:val="0"/>
          <w:sz w:val="24"/>
          <w:szCs w:val="24"/>
          <w:highlight w:val="none"/>
        </w:rPr>
        <w:t>否则其相应合同包的响应文件将被否决。</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7.2供应商代表在同一个合同项下只能接受一个供应商的委托参加响应谈判，</w:t>
      </w:r>
      <w:r>
        <w:rPr>
          <w:rFonts w:ascii="宋体" w:hAnsi="宋体" w:eastAsia="宋体" w:cs="宋体"/>
          <w:b/>
          <w:bCs/>
          <w:kern w:val="0"/>
          <w:sz w:val="24"/>
          <w:szCs w:val="24"/>
          <w:highlight w:val="none"/>
        </w:rPr>
        <w:t>否则其响应文件将被否决。</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7.3供应商应仔细阅读谈判文件的所有内容和要求，按谈判文件的规定提供响应文件，并对其所提供的全部资料、承诺和声明的真实性、合法性和准确性负责。</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7.4除非竞争性谈判须知前附表另有规定外，供应商提供的响应文件应使用中文文本，若有不同文字文本，以中文文本为准。</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7.6除非竞争性谈判须知前附表另有规定外，供应商承诺的报价应以人民币进行报价，合同实施结算时亦以人民币支付；所有计量均采用中华人民共和国法定计量单位。</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8.首次响应文件的组成：</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8.1首次响应文件包括但不限于下列部分：</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（1）谈判响应声明</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（2）报价一览表（含详细报价书）</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（3）资格证明文件</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（4）谈判保证金凭证</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（5）技术和商务偏离表</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（6）相关技术、商务、服务响应承诺及资料</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（7）供应商提交符合政府采购政策的证明材料</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（8）要求作为响应文件组成部分的其他内容（若有）</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9.响应文件有效期：</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9.1响应文件有效期见竞争性谈判须知前附表第3项，响应文件承诺的有效期不得少于谈判文件载明的有效期，</w:t>
      </w:r>
      <w:r>
        <w:rPr>
          <w:rFonts w:ascii="宋体" w:hAnsi="宋体" w:eastAsia="宋体" w:cs="宋体"/>
          <w:b/>
          <w:bCs/>
          <w:kern w:val="0"/>
          <w:sz w:val="24"/>
          <w:szCs w:val="24"/>
          <w:highlight w:val="none"/>
        </w:rPr>
        <w:t>否则其响应文件将被否决。</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10.谈判保证金：</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10.2谈判保证金为响应文件的重要组成部分之一。谈判保证金用于保护本次谈判活动免受供应商的违约或失信行为而引起的风险。未按规定提交谈判保证金的，</w:t>
      </w:r>
      <w:r>
        <w:rPr>
          <w:rFonts w:ascii="宋体" w:hAnsi="宋体" w:eastAsia="宋体" w:cs="宋体"/>
          <w:b/>
          <w:bCs/>
          <w:kern w:val="0"/>
          <w:sz w:val="24"/>
          <w:szCs w:val="24"/>
          <w:highlight w:val="none"/>
        </w:rPr>
        <w:t>其响应文件将被否决。</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10.3谈判保证金退还：</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10.3.2质疑或投诉涉及的供应商，若其谈判保证金尚未退还，则待质疑或投诉处理完毕后，且没有发生法律法规或者谈判文件规定的不予退还谈判保证金情形，则由采购人或采购代理机构给予及时退还。</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10.4如果供应商发生以下任何一种情况时，其谈判保证金将被不予退还：</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(1)供应商在提交响应文件截止时间后撤回响应文件的；</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(2)供应商在响应文件中提供虚假材料的；</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(3)除因不可抗力或谈判文件认可的情形以外，成交供应商不与采购人签订合同的；</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(4)供应商与采购人、其他供应商或者采购代理机构恶意串通的；</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(5)供应商在提交最后报价后要求退出谈判的；</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(6)供应商假借以他人名义参加谈判或者以其他方式弄虚作假，骗取成交；</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(7)国家法律法规以及谈判文件中规定的其他谈判保证金不予退还的情形。</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上述不予退还谈判保证金的情况不能抵偿给采购人或采购代理机构造成损失的，供应商还要承担赔偿责任。</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11.纸质响应文件基本编制要求：</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11.2响应文件应由供应商代表签字并加盖公章。供应商代表如果不是竞争性谈判须知中定义的“单位负责人”，则其响应文件中还必须提供“单位负责人授权书”。</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11.3响应文件应尽量避免涂改、行间插字或删除。如果出现上述情况，改动之处应加盖供应商单位公章或由供应商代表签字确认。</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11.4供应商应提交证明其拟提供货物、服务或工程符合谈判文件要求的技术和商务响应文件，该文件可以是文字资料、图纸和数据，并对拟提供的货物、服务或工程的主要内容进行详细描述。</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12.纸质响应文件的密封、标识、签署和提交</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center"/>
        <w:outlineLvl w:val="1"/>
        <w:rPr>
          <w:rFonts w:ascii="宋体" w:hAnsi="宋体" w:eastAsia="宋体" w:cs="宋体"/>
          <w:kern w:val="0"/>
          <w:sz w:val="24"/>
          <w:szCs w:val="24"/>
          <w:highlight w:val="none"/>
        </w:rPr>
      </w:pPr>
      <w:r>
        <w:rPr>
          <w:rFonts w:ascii="宋体" w:hAnsi="宋体" w:eastAsia="宋体" w:cs="宋体"/>
          <w:b/>
          <w:bCs/>
          <w:kern w:val="0"/>
          <w:sz w:val="24"/>
          <w:szCs w:val="24"/>
          <w:highlight w:val="none"/>
        </w:rPr>
        <w:t>四、竞争性谈判</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13.评审和谈判基本准则</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13.1对所有供应商的评审和谈判，都采用相同的程序和标准。</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13.2谈判及评审过程将严格按照谈判文件的要求和条件进行，谈判小组将根据供应商的响应文件，按谈判文件规定的谈判程序和评定成交标准进行评审和谈判，并推荐成交候选人。</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14.谈判程序以及评定成交标准</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14.1采购人将根据项目的特点依法组建谈判小组。谈判小组将根据谈判文件规定的程序、评定成交标准等内容对供应商进行评审、谈判。</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14.2.1供应商有下列情况之一者，其提交的响应文件将被视为未实质性响应谈判文件要求，谈判小组将否决其响应文件，按无效处理：</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(1)响应文件中提供的资格证明文件不全的；</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(2)响应文件未按谈判文件规定由供应商代表签字，或未按谈判文件规定加盖供应商单位公章的；或供应商代表未获得有效授权的；</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(3)供应商未按谈判文件规定提交谈判保证金的；</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(4)响应文件有效期不满足谈判文件要求的；</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(5)响应内容与谈判采购内容及要求有重大偏离或保留的，限制了采购人的权利或者减少成交供应商合同项下的义务；（由于谈判项目本身特点，不能详细列明采购标的的技术、服务要求的除外）；</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(6)响应文件中附有采购人无法接受的条件的；</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(7)不符合谈判文件中规定的其它实质性条款（比如：报价超过了谈判文件规定的最高限价）。</w:t>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t>  14.2.2其他情形</w:t>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t xml:space="preserve">   </w:t>
      </w:r>
      <w:r>
        <w:rPr>
          <w:rFonts w:ascii="宋体" w:hAnsi="宋体" w:eastAsia="宋体" w:cs="宋体"/>
          <w:b/>
          <w:bCs/>
          <w:kern w:val="0"/>
          <w:sz w:val="24"/>
          <w:szCs w:val="24"/>
          <w:highlight w:val="none"/>
        </w:rPr>
        <w:t>包：1</w:t>
      </w:r>
    </w:p>
    <w:tbl>
      <w:tblPr>
        <w:tblStyle w:val="10"/>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highlight w:val="none"/>
              </w:rPr>
            </w:pPr>
            <w:r>
              <w:rPr>
                <w:rFonts w:ascii="宋体" w:hAnsi="宋体" w:eastAsia="宋体" w:cs="宋体"/>
                <w:b/>
                <w:bCs/>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1）实质性影响合同的范围、质量和履行；（2）实质性违背谈判文件，限制了采购人的权利和成交人合同项下的义务；（3）不公正地影响了其它作出实质性响应的响应人的竞争地位。对没有实质性响应的投标文件将不进行评估，其投标将被拒绝。下列情况之一者，投标文件无效，作为废标处理： (1) 响应文件未按照谈判文件第二章投标人须知前附表“密封及其标记的具体形式”的规定进行密封、标记的；(2)纸质响应文件未按规定由投标人的法定代表人或其授权代表签字，或未加盖投标人公章的；或签字人未经法定代表人有效授权委托的；(3)未按规定提交投标保证金的；(4)响应有效期不满足采购文件要求的；(5)响应内容与招标内容及要求有重大偏离或保留的；(6)投标人提交的是可选择的报价；(7)投标人未按规定对报价进行分项报价；(8)一个投标人不止投一个标；(9)响应文件组成不符合采购文件要求的；(10)响应文件中提供虚假或失实资料的；(11)不满足采购文件资格标准的；(12)每份纸质响应文件</w:t>
            </w:r>
            <w:r>
              <w:rPr>
                <w:rFonts w:hint="eastAsia" w:ascii="宋体" w:hAnsi="宋体" w:eastAsia="宋体" w:cs="宋体"/>
                <w:kern w:val="0"/>
                <w:sz w:val="24"/>
                <w:szCs w:val="24"/>
                <w:highlight w:val="none"/>
              </w:rPr>
              <w:t>应按规定标注正本或副本并胶装成册，</w:t>
            </w:r>
            <w:r>
              <w:rPr>
                <w:rFonts w:ascii="宋体" w:hAnsi="宋体" w:eastAsia="宋体" w:cs="宋体"/>
                <w:kern w:val="0"/>
                <w:sz w:val="24"/>
                <w:szCs w:val="24"/>
                <w:highlight w:val="none"/>
              </w:rPr>
              <w:t>未按要求</w:t>
            </w:r>
            <w:r>
              <w:rPr>
                <w:rFonts w:hint="eastAsia" w:ascii="宋体" w:hAnsi="宋体" w:eastAsia="宋体" w:cs="宋体"/>
                <w:kern w:val="0"/>
                <w:sz w:val="24"/>
                <w:szCs w:val="24"/>
                <w:highlight w:val="none"/>
              </w:rPr>
              <w:t>标注并</w:t>
            </w:r>
            <w:r>
              <w:rPr>
                <w:rFonts w:ascii="宋体" w:hAnsi="宋体" w:eastAsia="宋体" w:cs="宋体"/>
                <w:kern w:val="0"/>
                <w:sz w:val="24"/>
                <w:szCs w:val="24"/>
                <w:highlight w:val="none"/>
              </w:rPr>
              <w:t>胶装成册（不可拆卸）的；（13）没有如实填报技术规格和商务偏离表或有弄虚作假行为；（14）投标人的投标报价超过预算价的；（15）不符合响应文件中规定的其它实质性条款。</w:t>
            </w:r>
          </w:p>
        </w:tc>
      </w:tr>
    </w:tbl>
    <w:p>
      <w:pPr>
        <w:widowControl/>
        <w:jc w:val="left"/>
        <w:rPr>
          <w:rFonts w:ascii="宋体" w:hAnsi="宋体" w:eastAsia="宋体" w:cs="宋体"/>
          <w:kern w:val="0"/>
          <w:sz w:val="24"/>
          <w:szCs w:val="24"/>
          <w:highlight w:val="none"/>
        </w:rPr>
      </w:pP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谈判小组决定供应商的响应性只根据响应文件本身的内容，而不寻求其他的外部证据。</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14.10供应商提交的响应文件和资料将给予保密，但不退回（有关证件或证照的原件除外）。</w:t>
      </w:r>
    </w:p>
    <w:p>
      <w:pPr>
        <w:widowControl/>
        <w:spacing w:before="75" w:after="75" w:line="435" w:lineRule="atLeast"/>
        <w:jc w:val="center"/>
        <w:outlineLvl w:val="1"/>
        <w:rPr>
          <w:rFonts w:ascii="宋体" w:hAnsi="宋体" w:eastAsia="宋体" w:cs="宋体"/>
          <w:kern w:val="0"/>
          <w:sz w:val="24"/>
          <w:szCs w:val="24"/>
          <w:highlight w:val="none"/>
        </w:rPr>
      </w:pPr>
      <w:r>
        <w:rPr>
          <w:rFonts w:ascii="宋体" w:hAnsi="宋体" w:eastAsia="宋体" w:cs="宋体"/>
          <w:b/>
          <w:bCs/>
          <w:kern w:val="0"/>
          <w:sz w:val="24"/>
          <w:szCs w:val="24"/>
          <w:highlight w:val="none"/>
        </w:rPr>
        <w:t>五、合同授予</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15.授予合同的准则：</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15.1除不可抗力等因素外，合同将授予响应文件符合竞争性谈判文件要求，能够圆满地履行合同，且被谈判小组推</w:t>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t>荐为第一成交候选人的供应商。</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15.3为维护国家利益和社会公共利益，最低报价不是被授予合同的绝对保证。</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16.确定成交供应在商：</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16.1采购人委托代理机构组织竞争性谈判采购活动的，采购代理机构在评审结束后2个工作日内将评审报告送采购人确认。</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17.成交通知:</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18.签订合同：</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18.2竞争性谈判文件、成交供应商的响应文件及其有关澄清承诺文件等，均为签订政府采购合同的依据和组成部分。</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widowControl/>
        <w:spacing w:before="75" w:after="75" w:line="435" w:lineRule="atLeast"/>
        <w:jc w:val="center"/>
        <w:outlineLvl w:val="1"/>
        <w:rPr>
          <w:rFonts w:ascii="宋体" w:hAnsi="宋体" w:eastAsia="宋体" w:cs="宋体"/>
          <w:kern w:val="0"/>
          <w:sz w:val="24"/>
          <w:szCs w:val="24"/>
          <w:highlight w:val="none"/>
        </w:rPr>
      </w:pPr>
      <w:r>
        <w:rPr>
          <w:rFonts w:ascii="宋体" w:hAnsi="宋体" w:eastAsia="宋体" w:cs="宋体"/>
          <w:b/>
          <w:bCs/>
          <w:kern w:val="0"/>
          <w:sz w:val="24"/>
          <w:szCs w:val="24"/>
          <w:highlight w:val="none"/>
        </w:rPr>
        <w:t>六、询问、质疑与投诉</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r>
        <w:rPr>
          <w:rFonts w:ascii="宋体" w:hAnsi="宋体" w:eastAsia="宋体" w:cs="宋体"/>
          <w:b/>
          <w:bCs/>
          <w:kern w:val="0"/>
          <w:sz w:val="24"/>
          <w:szCs w:val="24"/>
          <w:highlight w:val="none"/>
        </w:rPr>
        <w:t>19.询问</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19.1潜在供应商或供应商对本次采购活动的有关事项若有疑问，可向采购人或采购代理机构提出询问，采购人或采购代理机构将按照政府采购法及实施条例的有关规定进行答复。</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20.质疑</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20.1质疑应在政府采购法及实施条例规定的时效内提出，并符合下列条件：</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20.1.2质疑人应提交质疑函原件。</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20.1.3质疑函应包括下列主要内容：</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r>
        <w:rPr>
          <w:rFonts w:hint="eastAsia" w:ascii="宋体" w:hAnsi="宋体" w:eastAsia="宋体" w:cs="宋体"/>
          <w:kern w:val="0"/>
          <w:sz w:val="24"/>
          <w:szCs w:val="24"/>
          <w:highlight w:val="none"/>
        </w:rPr>
        <w:t>①</w:t>
      </w:r>
      <w:r>
        <w:rPr>
          <w:rFonts w:ascii="宋体" w:hAnsi="宋体" w:eastAsia="宋体" w:cs="宋体"/>
          <w:kern w:val="0"/>
          <w:sz w:val="24"/>
          <w:szCs w:val="24"/>
          <w:highlight w:val="none"/>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r>
        <w:rPr>
          <w:rFonts w:hint="eastAsia" w:ascii="宋体" w:hAnsi="宋体" w:eastAsia="宋体" w:cs="宋体"/>
          <w:kern w:val="0"/>
          <w:sz w:val="24"/>
          <w:szCs w:val="24"/>
          <w:highlight w:val="none"/>
        </w:rPr>
        <w:t>②</w:t>
      </w:r>
      <w:r>
        <w:rPr>
          <w:rFonts w:ascii="宋体" w:hAnsi="宋体" w:eastAsia="宋体" w:cs="宋体"/>
          <w:kern w:val="0"/>
          <w:sz w:val="24"/>
          <w:szCs w:val="24"/>
          <w:highlight w:val="none"/>
        </w:rPr>
        <w:t>所质疑项目的基本信息，至少包括：项目编号、项目名称等；</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r>
        <w:rPr>
          <w:rFonts w:hint="eastAsia" w:ascii="宋体" w:hAnsi="宋体" w:eastAsia="宋体" w:cs="宋体"/>
          <w:kern w:val="0"/>
          <w:sz w:val="24"/>
          <w:szCs w:val="24"/>
          <w:highlight w:val="none"/>
        </w:rPr>
        <w:t>③</w:t>
      </w:r>
      <w:r>
        <w:rPr>
          <w:rFonts w:ascii="宋体" w:hAnsi="宋体" w:eastAsia="宋体" w:cs="宋体"/>
          <w:kern w:val="0"/>
          <w:sz w:val="24"/>
          <w:szCs w:val="24"/>
          <w:highlight w:val="none"/>
        </w:rPr>
        <w:t>所质疑的具体事项（以下简称：“质疑事项”）；</w:t>
      </w:r>
    </w:p>
    <w:p>
      <w:pPr>
        <w:widowControl/>
        <w:spacing w:before="75" w:after="75" w:line="43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④</w:t>
      </w:r>
      <w:r>
        <w:rPr>
          <w:rFonts w:ascii="宋体" w:hAnsi="宋体" w:eastAsia="宋体" w:cs="宋体"/>
          <w:kern w:val="0"/>
          <w:sz w:val="24"/>
          <w:szCs w:val="24"/>
          <w:highlight w:val="none"/>
        </w:rPr>
        <w:t>质疑人自身权益受到损害的事实依据和证明材料，至少包括：</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a1所质疑的具体事项事实存在的证明材料；</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a2所质疑的具体事项事实导致质疑人自身权益受到损害的证明材料，如：采购文件、采购过程或成交结果违法违规，损害自已合法权益等证明材料；</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3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⑤</w:t>
      </w:r>
      <w:r>
        <w:rPr>
          <w:rFonts w:ascii="宋体" w:hAnsi="宋体" w:eastAsia="宋体" w:cs="宋体"/>
          <w:kern w:val="0"/>
          <w:sz w:val="24"/>
          <w:szCs w:val="24"/>
          <w:highlight w:val="none"/>
        </w:rPr>
        <w:t>针对质疑事项提出的明确请求和法律依据，</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r>
        <w:rPr>
          <w:rFonts w:hint="eastAsia" w:ascii="宋体" w:hAnsi="宋体" w:eastAsia="宋体" w:cs="宋体"/>
          <w:kern w:val="0"/>
          <w:sz w:val="24"/>
          <w:szCs w:val="24"/>
          <w:highlight w:val="none"/>
        </w:rPr>
        <w:t>⑥</w:t>
      </w:r>
      <w:r>
        <w:rPr>
          <w:rFonts w:ascii="宋体" w:hAnsi="宋体" w:eastAsia="宋体" w:cs="宋体"/>
          <w:kern w:val="0"/>
          <w:sz w:val="24"/>
          <w:szCs w:val="24"/>
          <w:highlight w:val="none"/>
        </w:rPr>
        <w:t>提出质疑的日期以及质疑人代表联系方式，至少包括：姓名、手机、电子信箱、邮寄地址等。</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20.2对不符合前文第20.1条规定的质疑，采购人或采购代理机构将按照下列规定进行处理：</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20.2.1超过质疑时效提交的或者质疑人不是直接参与所质疑项目采购活动的供应商，书面告知质疑人其质疑不成立的原因和理由。</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20.3对符合前文第20.1条规定的质疑，采购人或采购代理机构将按照政府采购法及实施条例的有关规定进行答复。</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21.投诉</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21.1若对质疑答复不满意或质疑答复未在答复期限内作出，质疑人可在答复期限届满之日起15个工作日内向谈判文件中载明的监督管理部门投诉。</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21.1投诉应有明确的请求和必要的证明材料，投诉的事项不得超出已质疑事项的范围。</w:t>
      </w:r>
    </w:p>
    <w:p>
      <w:pPr>
        <w:widowControl/>
        <w:spacing w:before="75" w:after="75" w:line="435" w:lineRule="atLeast"/>
        <w:jc w:val="center"/>
        <w:outlineLvl w:val="1"/>
        <w:rPr>
          <w:rFonts w:ascii="宋体" w:hAnsi="宋体" w:eastAsia="宋体" w:cs="宋体"/>
          <w:kern w:val="0"/>
          <w:sz w:val="24"/>
          <w:szCs w:val="24"/>
          <w:highlight w:val="none"/>
        </w:rPr>
      </w:pPr>
      <w:r>
        <w:rPr>
          <w:rFonts w:ascii="宋体" w:hAnsi="宋体" w:eastAsia="宋体" w:cs="宋体"/>
          <w:b/>
          <w:bCs/>
          <w:kern w:val="0"/>
          <w:sz w:val="24"/>
          <w:szCs w:val="24"/>
          <w:highlight w:val="none"/>
        </w:rPr>
        <w:t>七、有关信息公告和监督部门</w:t>
      </w:r>
    </w:p>
    <w:p>
      <w:pPr>
        <w:widowControl/>
        <w:spacing w:before="75" w:after="75" w:line="435" w:lineRule="atLeast"/>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22.政府采购信息公告媒体</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22.2信息公告指定媒体：详见竞争性谈判须知前附表第8项。</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23.监督管理部门</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23.1谈判采购活动的监督管理部门详见竞争性谈判须知前附表第9项。</w:t>
      </w:r>
    </w:p>
    <w:p>
      <w:pPr>
        <w:widowControl/>
        <w:spacing w:before="75" w:after="75" w:line="435" w:lineRule="atLeast"/>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line="435" w:lineRule="atLeast"/>
        <w:jc w:val="center"/>
        <w:outlineLvl w:val="1"/>
        <w:rPr>
          <w:rFonts w:ascii="宋体" w:hAnsi="宋体" w:eastAsia="宋体" w:cs="宋体"/>
          <w:kern w:val="0"/>
          <w:sz w:val="24"/>
          <w:szCs w:val="24"/>
          <w:highlight w:val="none"/>
        </w:rPr>
      </w:pPr>
      <w:r>
        <w:rPr>
          <w:rFonts w:ascii="宋体" w:hAnsi="宋体" w:eastAsia="宋体" w:cs="宋体"/>
          <w:b/>
          <w:bCs/>
          <w:kern w:val="0"/>
          <w:sz w:val="24"/>
          <w:szCs w:val="24"/>
          <w:highlight w:val="none"/>
        </w:rPr>
        <w:t>八、根据采购项目特点或政策需要补充的其他内容</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24.履约保证金</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24.2谈判文件要求在合同签订前提交履约保证金，如果成交供应商无故拖延或者拒不提交履约保证金的，则视为成交供应商拒绝与采购人签订合同，该成交供应商将承担违法行为的法律责任。</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25.其他新增内容：</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根据采购项目特点或政策需要补充的其他新增内容详见竞争性谈判须知前附表第11项。</w:t>
      </w:r>
    </w:p>
    <w:p>
      <w:pPr>
        <w:widowControl/>
        <w:spacing w:before="75" w:after="75"/>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rPr>
          <w:rFonts w:ascii="宋体" w:hAnsi="宋体" w:eastAsia="宋体" w:cs="宋体"/>
          <w:b/>
          <w:bCs/>
          <w:kern w:val="0"/>
          <w:sz w:val="24"/>
          <w:szCs w:val="24"/>
          <w:highlight w:val="none"/>
        </w:rPr>
      </w:pPr>
    </w:p>
    <w:p>
      <w:pPr>
        <w:rPr>
          <w:rFonts w:ascii="宋体" w:hAnsi="宋体" w:eastAsia="宋体" w:cs="宋体"/>
          <w:b/>
          <w:bCs/>
          <w:kern w:val="0"/>
          <w:sz w:val="24"/>
          <w:szCs w:val="24"/>
          <w:highlight w:val="none"/>
        </w:rPr>
      </w:pPr>
      <w:r>
        <w:rPr>
          <w:rFonts w:ascii="宋体" w:hAnsi="宋体" w:eastAsia="宋体" w:cs="宋体"/>
          <w:b/>
          <w:bCs/>
          <w:kern w:val="0"/>
          <w:sz w:val="24"/>
          <w:szCs w:val="24"/>
          <w:highlight w:val="none"/>
        </w:rPr>
        <w:br w:type="page"/>
      </w:r>
    </w:p>
    <w:p>
      <w:pPr>
        <w:widowControl/>
        <w:spacing w:before="75" w:after="75"/>
        <w:jc w:val="center"/>
        <w:outlineLvl w:val="0"/>
        <w:rPr>
          <w:rFonts w:ascii="宋体" w:hAnsi="宋体" w:eastAsia="宋体" w:cs="宋体"/>
          <w:b/>
          <w:bCs/>
          <w:kern w:val="0"/>
          <w:sz w:val="32"/>
          <w:szCs w:val="32"/>
          <w:highlight w:val="none"/>
        </w:rPr>
      </w:pPr>
      <w:r>
        <w:rPr>
          <w:rFonts w:ascii="宋体" w:hAnsi="宋体" w:eastAsia="宋体" w:cs="宋体"/>
          <w:b/>
          <w:bCs/>
          <w:kern w:val="0"/>
          <w:sz w:val="32"/>
          <w:szCs w:val="32"/>
          <w:highlight w:val="none"/>
        </w:rPr>
        <w:t>第三章  采购内容及要求</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360" w:lineRule="auto"/>
        <w:jc w:val="left"/>
        <w:outlineLvl w:val="1"/>
        <w:rPr>
          <w:rFonts w:ascii="宋体" w:hAnsi="宋体" w:eastAsia="宋体" w:cs="宋体"/>
          <w:b/>
          <w:bCs/>
          <w:kern w:val="0"/>
          <w:sz w:val="24"/>
          <w:szCs w:val="24"/>
          <w:highlight w:val="none"/>
        </w:rPr>
      </w:pPr>
      <w:r>
        <w:rPr>
          <w:rFonts w:ascii="宋体" w:hAnsi="宋体" w:eastAsia="宋体" w:cs="宋体"/>
          <w:b/>
          <w:bCs/>
          <w:kern w:val="0"/>
          <w:sz w:val="24"/>
          <w:szCs w:val="24"/>
          <w:highlight w:val="none"/>
        </w:rPr>
        <w:t>一、项目概况</w:t>
      </w:r>
    </w:p>
    <w:p>
      <w:pPr>
        <w:widowControl/>
        <w:spacing w:before="75" w:after="75"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为了改善原有实验室条件，更新实验室通风系统、万向排气罩、中央台等实验室设备，改善实验室环境，泉州师范学院进行化工与材料学院实验室通风系统采购活动，现欢迎国内合格的供应商前来参加。供应商应根据谈判文件所提出的产品技术规格、数量和服务要求，选择具有最佳性能价格比的产品及服务提交响应文件。</w:t>
      </w:r>
    </w:p>
    <w:p>
      <w:pPr>
        <w:numPr>
          <w:ilvl w:val="0"/>
          <w:numId w:val="3"/>
        </w:numPr>
        <w:adjustRightInd w:val="0"/>
        <w:snapToGrid w:val="0"/>
        <w:spacing w:line="360" w:lineRule="auto"/>
        <w:outlineLvl w:val="1"/>
        <w:rPr>
          <w:rFonts w:ascii="宋体" w:hAnsi="宋体" w:eastAsia="宋体" w:cs="宋体"/>
          <w:b/>
          <w:kern w:val="0"/>
          <w:sz w:val="24"/>
          <w:szCs w:val="24"/>
          <w:highlight w:val="none"/>
        </w:rPr>
      </w:pPr>
      <w:r>
        <w:rPr>
          <w:rFonts w:ascii="宋体" w:hAnsi="宋体" w:eastAsia="宋体" w:cs="宋体"/>
          <w:b/>
          <w:kern w:val="0"/>
          <w:sz w:val="24"/>
          <w:szCs w:val="24"/>
          <w:highlight w:val="none"/>
        </w:rPr>
        <w:t>技术和服务要求</w:t>
      </w:r>
    </w:p>
    <w:p>
      <w:pPr>
        <w:spacing w:line="360" w:lineRule="auto"/>
        <w:outlineLvl w:val="2"/>
        <w:rPr>
          <w:rFonts w:ascii="宋体" w:hAnsi="宋体"/>
          <w:b/>
          <w:sz w:val="24"/>
          <w:szCs w:val="24"/>
          <w:highlight w:val="none"/>
        </w:rPr>
      </w:pPr>
      <w:r>
        <w:rPr>
          <w:rFonts w:hint="eastAsia" w:ascii="宋体" w:hAnsi="宋体"/>
          <w:b/>
          <w:sz w:val="24"/>
          <w:szCs w:val="24"/>
          <w:highlight w:val="none"/>
        </w:rPr>
        <w:t>（一）、采购清单</w:t>
      </w:r>
    </w:p>
    <w:tbl>
      <w:tblPr>
        <w:tblStyle w:val="10"/>
        <w:tblpPr w:leftFromText="180" w:rightFromText="180" w:vertAnchor="text" w:horzAnchor="page" w:tblpX="1535" w:tblpY="925"/>
        <w:tblOverlap w:val="never"/>
        <w:tblW w:w="8985" w:type="dxa"/>
        <w:tblInd w:w="0" w:type="dxa"/>
        <w:tblLayout w:type="fixed"/>
        <w:tblCellMar>
          <w:top w:w="0" w:type="dxa"/>
          <w:left w:w="0" w:type="dxa"/>
          <w:bottom w:w="0" w:type="dxa"/>
          <w:right w:w="0" w:type="dxa"/>
        </w:tblCellMar>
      </w:tblPr>
      <w:tblGrid>
        <w:gridCol w:w="788"/>
        <w:gridCol w:w="900"/>
        <w:gridCol w:w="1015"/>
        <w:gridCol w:w="5193"/>
        <w:gridCol w:w="594"/>
        <w:gridCol w:w="495"/>
      </w:tblGrid>
      <w:tr>
        <w:tblPrEx>
          <w:tblCellMar>
            <w:top w:w="0" w:type="dxa"/>
            <w:left w:w="0" w:type="dxa"/>
            <w:bottom w:w="0" w:type="dxa"/>
            <w:right w:w="0" w:type="dxa"/>
          </w:tblCellMar>
        </w:tblPrEx>
        <w:trPr>
          <w:trHeight w:val="84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4"/>
                <w:szCs w:val="24"/>
                <w:highlight w:val="none"/>
              </w:rPr>
            </w:pPr>
            <w:r>
              <w:rPr>
                <w:rFonts w:hint="eastAsia" w:asciiTheme="minorEastAsia" w:hAnsiTheme="minorEastAsia" w:cstheme="minorEastAsia"/>
                <w:bCs/>
                <w:sz w:val="24"/>
                <w:szCs w:val="24"/>
                <w:highlight w:val="none"/>
              </w:rPr>
              <w:t>合同包</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4"/>
                <w:szCs w:val="24"/>
                <w:highlight w:val="none"/>
              </w:rPr>
            </w:pPr>
            <w:r>
              <w:rPr>
                <w:rFonts w:hint="eastAsia" w:asciiTheme="minorEastAsia" w:hAnsiTheme="minorEastAsia" w:cstheme="minorEastAsia"/>
                <w:bCs/>
                <w:sz w:val="24"/>
                <w:szCs w:val="24"/>
                <w:highlight w:val="none"/>
              </w:rPr>
              <w:t>品目号</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24"/>
                <w:szCs w:val="24"/>
                <w:highlight w:val="none"/>
              </w:rPr>
            </w:pPr>
            <w:r>
              <w:rPr>
                <w:rFonts w:hint="eastAsia" w:asciiTheme="minorEastAsia" w:hAnsiTheme="minorEastAsia" w:cstheme="minorEastAsia"/>
                <w:bCs/>
                <w:sz w:val="24"/>
                <w:szCs w:val="24"/>
                <w:highlight w:val="none"/>
              </w:rPr>
              <w:t>商品名称</w:t>
            </w:r>
          </w:p>
        </w:tc>
        <w:tc>
          <w:tcPr>
            <w:tcW w:w="5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4"/>
                <w:szCs w:val="24"/>
                <w:highlight w:val="none"/>
              </w:rPr>
            </w:pPr>
            <w:r>
              <w:rPr>
                <w:rFonts w:hint="eastAsia" w:asciiTheme="minorEastAsia" w:hAnsiTheme="minorEastAsia" w:cstheme="minorEastAsia"/>
                <w:bCs/>
                <w:sz w:val="24"/>
                <w:szCs w:val="24"/>
                <w:highlight w:val="none"/>
              </w:rPr>
              <w:t>参数及规格</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4"/>
                <w:szCs w:val="24"/>
                <w:highlight w:val="none"/>
              </w:rPr>
            </w:pPr>
            <w:r>
              <w:rPr>
                <w:rFonts w:hint="eastAsia" w:asciiTheme="minorEastAsia" w:hAnsiTheme="minorEastAsia" w:cstheme="minorEastAsia"/>
                <w:bCs/>
                <w:sz w:val="24"/>
                <w:szCs w:val="24"/>
                <w:highlight w:val="none"/>
              </w:rPr>
              <w:t>计量单位</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kern w:val="0"/>
                <w:sz w:val="24"/>
                <w:szCs w:val="24"/>
                <w:highlight w:val="none"/>
              </w:rPr>
            </w:pPr>
            <w:r>
              <w:rPr>
                <w:rFonts w:hint="eastAsia" w:asciiTheme="minorEastAsia" w:hAnsiTheme="minorEastAsia" w:cstheme="minorEastAsia"/>
                <w:bCs/>
                <w:sz w:val="24"/>
                <w:szCs w:val="24"/>
                <w:highlight w:val="none"/>
              </w:rPr>
              <w:t>数量</w:t>
            </w:r>
          </w:p>
        </w:tc>
      </w:tr>
      <w:tr>
        <w:tblPrEx>
          <w:tblCellMar>
            <w:top w:w="0" w:type="dxa"/>
            <w:left w:w="0" w:type="dxa"/>
            <w:bottom w:w="0" w:type="dxa"/>
            <w:right w:w="0" w:type="dxa"/>
          </w:tblCellMar>
        </w:tblPrEx>
        <w:trPr>
          <w:trHeight w:val="84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包1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1-1</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万向排气罩</w:t>
            </w:r>
          </w:p>
        </w:tc>
        <w:tc>
          <w:tcPr>
            <w:tcW w:w="5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关节：高密度PP材质，可360°旋转调节方向，易拆卸、重组及清洗</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2、关节密封圈：不易老化之高密度橡胶</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3、支撑弹簧/关节连接杆：304不锈钢</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4、关节松紧旋钮：高密度PP制成，内嵌铜质螺母，与关节连接杆锁合</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气流调节阀：手动调节外部阀门旋钮，控制进入之气流量</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拱形/杯型集气罩：直径375mm/200mm，高密度PP制成，红色、灰色和透明三种选择</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7、伸缩导管：直径75mmPVC/PP整体耐腐蚀,经过GB/T 9274检测，并提供相应的国家权威检测机构出具的检测报告。</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8、集气罩：采用PVC材质，耐腐蚀，耐高温，高强度，自熄、阻燃、无毒，可在110℃-115℃环境下使用，高清透明度高,透明度不小于85%,需提供国家权威检测机构出具的检测报告。耐40%硝酸24小时无变化,耐40%氢氧化钠24小时无变化,需出具相应的国家权威检测机构出具的检测报告。</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套</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132</w:t>
            </w:r>
          </w:p>
        </w:tc>
      </w:tr>
      <w:tr>
        <w:tblPrEx>
          <w:tblCellMar>
            <w:top w:w="0" w:type="dxa"/>
            <w:left w:w="0" w:type="dxa"/>
            <w:bottom w:w="0" w:type="dxa"/>
            <w:right w:w="0" w:type="dxa"/>
          </w:tblCellMar>
        </w:tblPrEx>
        <w:trPr>
          <w:trHeight w:val="84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包1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1-2</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中央台</w:t>
            </w:r>
          </w:p>
        </w:tc>
        <w:tc>
          <w:tcPr>
            <w:tcW w:w="5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sz w:val="24"/>
                <w:szCs w:val="24"/>
                <w:highlight w:val="none"/>
              </w:rPr>
            </w:pPr>
            <w:r>
              <w:rPr>
                <w:rFonts w:hint="eastAsia"/>
                <w:sz w:val="24"/>
                <w:szCs w:val="24"/>
                <w:highlight w:val="none"/>
              </w:rPr>
              <w:t>1、尺寸：4200±2mm*1500±2mm*850±2mm(长宽高)，含三联龙头及水槽2套 线槽插座8个</w:t>
            </w:r>
          </w:p>
          <w:p>
            <w:pPr>
              <w:jc w:val="left"/>
              <w:rPr>
                <w:sz w:val="24"/>
                <w:szCs w:val="24"/>
                <w:highlight w:val="none"/>
              </w:rPr>
            </w:pPr>
            <w:r>
              <w:rPr>
                <w:rFonts w:hint="eastAsia"/>
                <w:sz w:val="24"/>
                <w:szCs w:val="24"/>
                <w:highlight w:val="none"/>
              </w:rPr>
              <w:t>2、钢架：采用C型钢框架结构；</w:t>
            </w:r>
            <w:r>
              <w:rPr>
                <w:rFonts w:hint="eastAsia"/>
                <w:color w:val="000000" w:themeColor="text1"/>
                <w:sz w:val="24"/>
                <w:szCs w:val="24"/>
                <w:highlight w:val="none"/>
                <w14:textFill>
                  <w14:solidFill>
                    <w14:schemeClr w14:val="tx1"/>
                  </w14:solidFill>
                </w14:textFill>
              </w:rPr>
              <w:t>规格为</w:t>
            </w:r>
            <w:r>
              <w:rPr>
                <w:rFonts w:hint="eastAsia"/>
                <w:sz w:val="24"/>
                <w:szCs w:val="24"/>
                <w:highlight w:val="none"/>
              </w:rPr>
              <w:t>40±2*60±2*1.2±2㎜(长宽厚度)的优质方管，金属表面经酸洗、磷化、化学防锈处理，表面高压静电粉沫喷涂专用防腐蚀环氧树脂，耐酸碱，防腐蚀，焊接后表面平整无焊接痕迹，不允许有堆涂，露底，气孔等缺陷，长期负重不变形，使用寿命长。</w:t>
            </w:r>
          </w:p>
          <w:p>
            <w:pPr>
              <w:jc w:val="left"/>
              <w:rPr>
                <w:sz w:val="24"/>
                <w:szCs w:val="24"/>
                <w:highlight w:val="none"/>
              </w:rPr>
            </w:pPr>
            <w:r>
              <w:rPr>
                <w:rFonts w:hint="eastAsia"/>
                <w:sz w:val="24"/>
                <w:szCs w:val="24"/>
                <w:highlight w:val="none"/>
              </w:rPr>
              <w:t>3、柜体：采用15㎜±2mm厚优质E1级中纤板，所有断面经优质PVC封边防水处理，所有板件采用柝装式三合一连接，结构稳固、承重性能好且易于拆迁，利于在实验室的特殊工作环境。</w:t>
            </w:r>
          </w:p>
          <w:p>
            <w:pPr>
              <w:jc w:val="left"/>
              <w:rPr>
                <w:sz w:val="24"/>
                <w:szCs w:val="24"/>
                <w:highlight w:val="none"/>
              </w:rPr>
            </w:pPr>
            <w:r>
              <w:rPr>
                <w:rFonts w:hint="eastAsia"/>
                <w:sz w:val="24"/>
                <w:szCs w:val="24"/>
                <w:highlight w:val="none"/>
              </w:rPr>
              <w:t>4、门板：采用15㎜±2mm厚优质E1级中纤板，所有断面经优质2mm厚PVC封边防水处理，四边倒角圆滑处理。</w:t>
            </w:r>
          </w:p>
          <w:p>
            <w:pPr>
              <w:jc w:val="left"/>
              <w:rPr>
                <w:sz w:val="24"/>
                <w:szCs w:val="24"/>
                <w:highlight w:val="none"/>
              </w:rPr>
            </w:pPr>
            <w:r>
              <w:rPr>
                <w:rFonts w:hint="eastAsia"/>
                <w:sz w:val="24"/>
                <w:szCs w:val="24"/>
                <w:highlight w:val="none"/>
              </w:rPr>
              <w:t>5、抽屉：抽屉面板材质同箱体，底板用9±2mm㎜厚优质E1级中纤板、其它材质同柜身，两侧设有自动回流式滑轨，模具成型，表面高压静电粉沫喷涂专用防腐蚀环氧树脂，耐酸碱，防腐蚀，在90㎜范围内轻轻一触，抽屉即可自动回流，不必还需动手关闭所有抽屉，方便手持物品的工作人员操作。</w:t>
            </w:r>
          </w:p>
          <w:p>
            <w:pPr>
              <w:jc w:val="left"/>
              <w:rPr>
                <w:sz w:val="24"/>
                <w:szCs w:val="24"/>
                <w:highlight w:val="none"/>
              </w:rPr>
            </w:pPr>
            <w:r>
              <w:rPr>
                <w:rFonts w:hint="eastAsia"/>
                <w:sz w:val="24"/>
                <w:szCs w:val="24"/>
                <w:highlight w:val="none"/>
              </w:rPr>
              <w:t>6、背板：采用9㎜±2mm厚E1级中纤板，所有断面经优质PVC封边防水处理，活动可拆卸式，便于使用过程中检修水、电、气等管边。</w:t>
            </w:r>
          </w:p>
          <w:p>
            <w:pPr>
              <w:jc w:val="left"/>
              <w:rPr>
                <w:sz w:val="24"/>
                <w:szCs w:val="24"/>
                <w:highlight w:val="none"/>
              </w:rPr>
            </w:pPr>
            <w:r>
              <w:rPr>
                <w:rFonts w:hint="eastAsia"/>
                <w:sz w:val="24"/>
                <w:szCs w:val="24"/>
                <w:highlight w:val="none"/>
              </w:rPr>
              <w:t>7、活动层板：采用15㎜±2mm厚优质E1级中纤板，所有断面经优质PVC封边防水处理，活动可拆卸式，四边倒角圆滑处理。</w:t>
            </w:r>
          </w:p>
          <w:p>
            <w:pPr>
              <w:jc w:val="left"/>
              <w:rPr>
                <w:sz w:val="24"/>
                <w:szCs w:val="24"/>
                <w:highlight w:val="none"/>
              </w:rPr>
            </w:pPr>
            <w:r>
              <w:rPr>
                <w:rFonts w:hint="eastAsia"/>
                <w:sz w:val="24"/>
                <w:szCs w:val="24"/>
                <w:highlight w:val="none"/>
              </w:rPr>
              <w:t>8、五金配件：铝合金一字型拉手，防腐易清洁。</w:t>
            </w:r>
          </w:p>
          <w:p>
            <w:pPr>
              <w:jc w:val="left"/>
              <w:rPr>
                <w:sz w:val="24"/>
                <w:szCs w:val="24"/>
                <w:highlight w:val="none"/>
              </w:rPr>
            </w:pPr>
            <w:r>
              <w:rPr>
                <w:rFonts w:hint="eastAsia"/>
                <w:sz w:val="24"/>
                <w:szCs w:val="24"/>
                <w:highlight w:val="none"/>
              </w:rPr>
              <w:t>9、台面选用12.7mm±2mm厚实心理化板,表面理化膜采用电子束固化技术生产。</w:t>
            </w:r>
          </w:p>
          <w:p>
            <w:pPr>
              <w:jc w:val="left"/>
              <w:rPr>
                <w:sz w:val="24"/>
                <w:szCs w:val="24"/>
                <w:highlight w:val="none"/>
              </w:rPr>
            </w:pPr>
            <w:r>
              <w:rPr>
                <w:rFonts w:hint="eastAsia"/>
                <w:sz w:val="24"/>
                <w:szCs w:val="24"/>
                <w:highlight w:val="none"/>
              </w:rPr>
              <w:t>为保证台面材料质量以及从环保角度保障实验室人员健康，台面板须满足或优于以下技术参数及要求，所有证明文件需注明此项目并加盖板材厂家鲜章：</w:t>
            </w:r>
          </w:p>
          <w:p>
            <w:pPr>
              <w:jc w:val="left"/>
              <w:rPr>
                <w:sz w:val="24"/>
                <w:szCs w:val="24"/>
                <w:highlight w:val="none"/>
              </w:rPr>
            </w:pPr>
            <w:r>
              <w:rPr>
                <w:rFonts w:hint="eastAsia"/>
                <w:sz w:val="24"/>
                <w:szCs w:val="24"/>
                <w:highlight w:val="none"/>
              </w:rPr>
              <w:t>A、台面板耐腐蚀性能优越，化学性能测试依据按“GB/T 17657-2013”标准，测试试剂应至少包含有：1、硝酸(65%)；2、氢氟酸(40%)；3、1.4-二氧六环；4、氢氧化钠(40%)；5、硝酸银饱和液；6、重铬酸钾（5%）；7、高锰酸钾（10%）；8、硫酸铜（10%）；9、硫化钠饱和液；10、王水；11、氯化锌饱和液；12、亚甲蓝指示剂；13、石脑油；14、品红指示剂；15、氯化镁（10%）等53项试剂，覆盖玻璃板、不覆盖检验结果均为“无明显变化”，分级结果均为5级。</w:t>
            </w:r>
            <w:r>
              <w:rPr>
                <w:rFonts w:hint="eastAsia"/>
                <w:color w:val="000000" w:themeColor="text1"/>
                <w:sz w:val="24"/>
                <w:szCs w:val="24"/>
                <w:highlight w:val="none"/>
                <w14:textFill>
                  <w14:solidFill>
                    <w14:schemeClr w14:val="tx1"/>
                  </w14:solidFill>
                </w14:textFill>
              </w:rPr>
              <w:t>参与投标的供应商需提供符合以上要求的12.7±2mm厚台面板相应检测报告复印件</w:t>
            </w:r>
            <w:r>
              <w:rPr>
                <w:rFonts w:hint="eastAsia"/>
                <w:sz w:val="24"/>
                <w:szCs w:val="24"/>
                <w:highlight w:val="none"/>
              </w:rPr>
              <w:t>（需提供由国家权威检测机构出具的清晰、有效的检测报告，且具有CMA、CNAS标识）；</w:t>
            </w:r>
          </w:p>
          <w:p>
            <w:pPr>
              <w:jc w:val="left"/>
              <w:rPr>
                <w:sz w:val="24"/>
                <w:szCs w:val="24"/>
                <w:highlight w:val="none"/>
              </w:rPr>
            </w:pPr>
            <w:r>
              <w:rPr>
                <w:rFonts w:hint="eastAsia"/>
                <w:sz w:val="24"/>
                <w:szCs w:val="24"/>
                <w:highlight w:val="none"/>
              </w:rPr>
              <w:t>B、台面板物理性能按照“GB/T 17657-2013”检验方法,检验结果需包含且满足以下要求：1、耐刮划性(金刚石划痕法) ≥5N试件表面无整圈连续划痕；2、弯曲强度≥ 125MPa；3、耐磨性≥1050 r；4、耐沸水性能（2h）质量增加≤0.6%，厚度增加≤0.2%；5、尺寸横向≤0.4%，纵向≤0.1%；6、弯曲弹性模量≥1.34*104 MPa。参与投标的供应商需提供符合以上要求的12.7mm±2mm厚台面板相应检测报告复印件（需提供由国家权威检测机构出具的清晰、有效的检测报告，且具有CMA、CNAS标识）</w:t>
            </w:r>
          </w:p>
          <w:p>
            <w:pPr>
              <w:jc w:val="left"/>
              <w:rPr>
                <w:sz w:val="24"/>
                <w:szCs w:val="24"/>
                <w:highlight w:val="none"/>
              </w:rPr>
            </w:pPr>
            <w:r>
              <w:rPr>
                <w:rFonts w:hint="eastAsia"/>
                <w:sz w:val="24"/>
                <w:szCs w:val="24"/>
                <w:highlight w:val="none"/>
              </w:rPr>
              <w:t>C、台面板甲醛释放量检验结果≤0.016mg/m3（检验依据GB 18580-2017），参与投标的厂家需提供符合以上要求的12.7mm±2mm厚台面板相应检测报告复印件（需提供由国家权威检测机构出具的清晰、有效的检测报告，且具有CMA、CNAS标识）；</w:t>
            </w:r>
          </w:p>
          <w:p>
            <w:pPr>
              <w:pStyle w:val="4"/>
              <w:rPr>
                <w:strike/>
                <w:sz w:val="24"/>
                <w:szCs w:val="24"/>
                <w:highlight w:val="none"/>
              </w:rPr>
            </w:pPr>
            <w:r>
              <w:rPr>
                <w:rFonts w:hint="eastAsia"/>
                <w:sz w:val="24"/>
                <w:szCs w:val="24"/>
                <w:highlight w:val="none"/>
              </w:rPr>
              <w:t>D、为了便于验收，所选理化板背面必须有清晰的防伪标志，且为保证主材的质量，投标供应商须提供相应的质量承诺书。</w:t>
            </w:r>
          </w:p>
          <w:p>
            <w:pPr>
              <w:jc w:val="left"/>
              <w:rPr>
                <w:sz w:val="24"/>
                <w:szCs w:val="24"/>
                <w:highlight w:val="none"/>
              </w:rPr>
            </w:pPr>
            <w:r>
              <w:rPr>
                <w:rFonts w:hint="eastAsia"/>
                <w:sz w:val="24"/>
                <w:szCs w:val="24"/>
                <w:highlight w:val="none"/>
              </w:rPr>
              <w:t>E、为保证实验室内部环境空气质量，要求总醛类预测毒物最大容许浓度≤0.043ppm，1-甲基-2-吡咯烷酮预测毒物最大容许浓度≤160μg/m³；需提供国家权威检测机构或第三方检测机构出具的检测报告。</w:t>
            </w:r>
          </w:p>
          <w:p>
            <w:pPr>
              <w:jc w:val="left"/>
              <w:rPr>
                <w:sz w:val="24"/>
                <w:szCs w:val="24"/>
                <w:highlight w:val="none"/>
              </w:rPr>
            </w:pPr>
            <w:r>
              <w:rPr>
                <w:rFonts w:hint="eastAsia"/>
                <w:sz w:val="24"/>
                <w:szCs w:val="24"/>
                <w:highlight w:val="none"/>
              </w:rPr>
              <w:t>F、为了便于验收，所选用板材背面必须有清晰的防伪标志，且为保证主材的质量，投标供应商须提供相应的质量承诺书。</w:t>
            </w:r>
          </w:p>
          <w:p>
            <w:pPr>
              <w:pStyle w:val="2"/>
              <w:rPr>
                <w:sz w:val="24"/>
                <w:szCs w:val="24"/>
                <w:highlight w:val="none"/>
              </w:rPr>
            </w:pPr>
            <w:r>
              <w:rPr>
                <w:rFonts w:hint="eastAsia"/>
                <w:sz w:val="24"/>
                <w:szCs w:val="24"/>
                <w:highlight w:val="none"/>
              </w:rPr>
              <w:t>以上相关检测报告原件备查</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座</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1</w:t>
            </w:r>
          </w:p>
        </w:tc>
      </w:tr>
      <w:tr>
        <w:tblPrEx>
          <w:tblCellMar>
            <w:top w:w="0" w:type="dxa"/>
            <w:left w:w="0" w:type="dxa"/>
            <w:bottom w:w="0" w:type="dxa"/>
            <w:right w:w="0" w:type="dxa"/>
          </w:tblCellMar>
        </w:tblPrEx>
        <w:trPr>
          <w:trHeight w:val="84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包1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1-3</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通风柜</w:t>
            </w:r>
          </w:p>
        </w:tc>
        <w:tc>
          <w:tcPr>
            <w:tcW w:w="5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1、主体框架：尺寸： 1500</w:t>
            </w:r>
            <w:r>
              <w:rPr>
                <w:rFonts w:hint="eastAsia"/>
                <w:sz w:val="24"/>
                <w:szCs w:val="24"/>
                <w:highlight w:val="none"/>
              </w:rPr>
              <w:t>±2mm</w:t>
            </w:r>
            <w:r>
              <w:rPr>
                <w:rFonts w:hint="eastAsia" w:asciiTheme="minorEastAsia" w:hAnsiTheme="minorEastAsia" w:cstheme="minorEastAsia"/>
                <w:bCs/>
                <w:sz w:val="24"/>
                <w:szCs w:val="24"/>
                <w:highlight w:val="none"/>
              </w:rPr>
              <w:t>*800</w:t>
            </w:r>
            <w:r>
              <w:rPr>
                <w:rFonts w:hint="eastAsia"/>
                <w:sz w:val="24"/>
                <w:szCs w:val="24"/>
                <w:highlight w:val="none"/>
              </w:rPr>
              <w:t>±2mm</w:t>
            </w:r>
            <w:r>
              <w:rPr>
                <w:rFonts w:hint="eastAsia" w:asciiTheme="minorEastAsia" w:hAnsiTheme="minorEastAsia" w:cstheme="minorEastAsia"/>
                <w:bCs/>
                <w:sz w:val="24"/>
                <w:szCs w:val="24"/>
                <w:highlight w:val="none"/>
              </w:rPr>
              <w:t>*2350</w:t>
            </w:r>
            <w:r>
              <w:rPr>
                <w:rFonts w:hint="eastAsia"/>
                <w:sz w:val="24"/>
                <w:szCs w:val="24"/>
                <w:highlight w:val="none"/>
              </w:rPr>
              <w:t>±2mm（长*宽*高）</w:t>
            </w:r>
            <w:r>
              <w:rPr>
                <w:rFonts w:hint="eastAsia" w:asciiTheme="minorEastAsia" w:hAnsiTheme="minorEastAsia" w:cstheme="minorEastAsia"/>
                <w:bCs/>
                <w:sz w:val="24"/>
                <w:szCs w:val="24"/>
                <w:highlight w:val="none"/>
              </w:rPr>
              <w:t>，柜体均采用1.0mm</w:t>
            </w:r>
            <w:r>
              <w:rPr>
                <w:rFonts w:hint="eastAsia"/>
                <w:sz w:val="24"/>
                <w:szCs w:val="24"/>
                <w:highlight w:val="none"/>
              </w:rPr>
              <w:t>±2mm</w:t>
            </w:r>
            <w:r>
              <w:rPr>
                <w:rFonts w:hint="eastAsia" w:asciiTheme="minorEastAsia" w:hAnsiTheme="minorEastAsia" w:cstheme="minorEastAsia"/>
                <w:bCs/>
                <w:sz w:val="24"/>
                <w:szCs w:val="24"/>
                <w:highlight w:val="none"/>
              </w:rPr>
              <w:t>厚上海宝钢镀锌钢板，德国进口全自动数控激光切割机下料，折弯采用全自动数控折弯机一次性一体折弯成型，喷涂表面经环氧树脂静电流水线自动化喷涂。</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2、内衬板\导流板：采用实芯抗倍特板（5mm</w:t>
            </w:r>
            <w:r>
              <w:rPr>
                <w:rFonts w:hint="eastAsia"/>
                <w:sz w:val="24"/>
                <w:szCs w:val="24"/>
                <w:highlight w:val="none"/>
              </w:rPr>
              <w:t>±2mm</w:t>
            </w:r>
            <w:r>
              <w:rPr>
                <w:rFonts w:hint="eastAsia" w:asciiTheme="minorEastAsia" w:hAnsiTheme="minorEastAsia" w:cstheme="minorEastAsia"/>
                <w:bCs/>
                <w:sz w:val="24"/>
                <w:szCs w:val="24"/>
                <w:highlight w:val="none"/>
              </w:rPr>
              <w:t>厚）具有良好的防腐蚀、化学抗性。导流板固定件使用PP优质材质制作一体成型。</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3、移动视窗：5mm</w:t>
            </w:r>
            <w:r>
              <w:rPr>
                <w:rFonts w:hint="eastAsia"/>
                <w:sz w:val="24"/>
                <w:szCs w:val="24"/>
                <w:highlight w:val="none"/>
              </w:rPr>
              <w:t>±2mm</w:t>
            </w:r>
            <w:r>
              <w:rPr>
                <w:rFonts w:hint="eastAsia" w:asciiTheme="minorEastAsia" w:hAnsiTheme="minorEastAsia" w:cstheme="minorEastAsia"/>
                <w:bCs/>
                <w:sz w:val="24"/>
                <w:szCs w:val="24"/>
                <w:highlight w:val="none"/>
              </w:rPr>
              <w:t>优质钢化玻璃，门开启高度为1800</w:t>
            </w:r>
            <w:r>
              <w:rPr>
                <w:rFonts w:hint="eastAsia"/>
                <w:sz w:val="24"/>
                <w:szCs w:val="24"/>
                <w:highlight w:val="none"/>
              </w:rPr>
              <w:t>±2mm</w:t>
            </w:r>
            <w:r>
              <w:rPr>
                <w:rFonts w:hint="eastAsia" w:asciiTheme="minorEastAsia" w:hAnsiTheme="minorEastAsia" w:cstheme="minorEastAsia"/>
                <w:bCs/>
                <w:sz w:val="24"/>
                <w:szCs w:val="24"/>
                <w:highlight w:val="none"/>
              </w:rPr>
              <w:t>,自由升降。</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4、通风柜正前方为玻璃视窗，有良好的可视范围。导流板和内衬材料一致并配PP导流夹。</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5、下柜体：台面同中央台。</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6、含直排通风系统（PP离心风机、风管、辅材、取孔）。</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套</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4</w:t>
            </w:r>
          </w:p>
        </w:tc>
      </w:tr>
      <w:tr>
        <w:tblPrEx>
          <w:tblCellMar>
            <w:top w:w="0" w:type="dxa"/>
            <w:left w:w="0" w:type="dxa"/>
            <w:bottom w:w="0" w:type="dxa"/>
            <w:right w:w="0" w:type="dxa"/>
          </w:tblCellMar>
        </w:tblPrEx>
        <w:trPr>
          <w:trHeight w:val="84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包1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1-4</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实验台拆除及修复</w:t>
            </w:r>
          </w:p>
        </w:tc>
        <w:tc>
          <w:tcPr>
            <w:tcW w:w="5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1、拆除原有3套通风系统（风管、风机等）</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拆除桌上集气罩（15台）、边台（5台，尺寸：</w:t>
            </w:r>
            <w:r>
              <w:rPr>
                <w:rFonts w:hint="eastAsia"/>
                <w:sz w:val="24"/>
                <w:szCs w:val="24"/>
                <w:highlight w:val="none"/>
              </w:rPr>
              <w:t>长*宽*高：</w:t>
            </w:r>
            <w:r>
              <w:rPr>
                <w:rFonts w:hint="eastAsia" w:asciiTheme="minorEastAsia" w:hAnsiTheme="minorEastAsia" w:cstheme="minorEastAsia"/>
                <w:bCs/>
                <w:sz w:val="24"/>
                <w:szCs w:val="24"/>
                <w:highlight w:val="none"/>
              </w:rPr>
              <w:t>2050</w:t>
            </w:r>
            <w:r>
              <w:rPr>
                <w:rFonts w:hint="eastAsia"/>
                <w:sz w:val="24"/>
                <w:szCs w:val="24"/>
                <w:highlight w:val="none"/>
              </w:rPr>
              <w:t>±2mm</w:t>
            </w:r>
            <w:r>
              <w:rPr>
                <w:rFonts w:hint="eastAsia" w:asciiTheme="minorEastAsia" w:hAnsiTheme="minorEastAsia" w:cstheme="minorEastAsia"/>
                <w:bCs/>
                <w:sz w:val="24"/>
                <w:szCs w:val="24"/>
                <w:highlight w:val="none"/>
              </w:rPr>
              <w:t xml:space="preserve"> *750</w:t>
            </w:r>
            <w:r>
              <w:rPr>
                <w:rFonts w:hint="eastAsia"/>
                <w:sz w:val="24"/>
                <w:szCs w:val="24"/>
                <w:highlight w:val="none"/>
              </w:rPr>
              <w:t>±2mm</w:t>
            </w:r>
            <w:r>
              <w:rPr>
                <w:rFonts w:hint="eastAsia" w:asciiTheme="minorEastAsia" w:hAnsiTheme="minorEastAsia" w:cstheme="minorEastAsia"/>
                <w:bCs/>
                <w:sz w:val="24"/>
                <w:szCs w:val="24"/>
                <w:highlight w:val="none"/>
              </w:rPr>
              <w:t>*850</w:t>
            </w:r>
            <w:r>
              <w:rPr>
                <w:rFonts w:hint="eastAsia"/>
                <w:sz w:val="24"/>
                <w:szCs w:val="24"/>
                <w:highlight w:val="none"/>
              </w:rPr>
              <w:t>±2</w:t>
            </w:r>
            <w:r>
              <w:rPr>
                <w:rFonts w:hint="eastAsia" w:asciiTheme="minorEastAsia" w:hAnsiTheme="minorEastAsia" w:cstheme="minorEastAsia"/>
                <w:bCs/>
                <w:sz w:val="24"/>
                <w:szCs w:val="24"/>
                <w:highlight w:val="none"/>
              </w:rPr>
              <w:t>mm）</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2、2个中央台移位</w:t>
            </w:r>
            <w:r>
              <w:rPr>
                <w:rFonts w:hint="eastAsia"/>
                <w:sz w:val="24"/>
                <w:szCs w:val="24"/>
                <w:highlight w:val="none"/>
              </w:rPr>
              <w:t>长*宽*高：</w:t>
            </w:r>
            <w:r>
              <w:rPr>
                <w:rFonts w:hint="eastAsia" w:asciiTheme="minorEastAsia" w:hAnsiTheme="minorEastAsia" w:cstheme="minorEastAsia"/>
                <w:bCs/>
                <w:sz w:val="24"/>
                <w:szCs w:val="24"/>
                <w:highlight w:val="none"/>
              </w:rPr>
              <w:t>4800</w:t>
            </w:r>
            <w:r>
              <w:rPr>
                <w:rFonts w:hint="eastAsia"/>
                <w:sz w:val="24"/>
                <w:szCs w:val="24"/>
                <w:highlight w:val="none"/>
              </w:rPr>
              <w:t>±2mm</w:t>
            </w:r>
            <w:r>
              <w:rPr>
                <w:rFonts w:hint="eastAsia" w:asciiTheme="minorEastAsia" w:hAnsiTheme="minorEastAsia" w:cstheme="minorEastAsia"/>
                <w:bCs/>
                <w:sz w:val="24"/>
                <w:szCs w:val="24"/>
                <w:highlight w:val="none"/>
              </w:rPr>
              <w:t>*1500</w:t>
            </w:r>
            <w:r>
              <w:rPr>
                <w:rFonts w:hint="eastAsia"/>
                <w:sz w:val="24"/>
                <w:szCs w:val="24"/>
                <w:highlight w:val="none"/>
              </w:rPr>
              <w:t>±2mm</w:t>
            </w:r>
            <w:r>
              <w:rPr>
                <w:rFonts w:hint="eastAsia" w:asciiTheme="minorEastAsia" w:hAnsiTheme="minorEastAsia" w:cstheme="minorEastAsia"/>
                <w:bCs/>
                <w:sz w:val="24"/>
                <w:szCs w:val="24"/>
                <w:highlight w:val="none"/>
              </w:rPr>
              <w:t>*850</w:t>
            </w:r>
            <w:r>
              <w:rPr>
                <w:rFonts w:hint="eastAsia"/>
                <w:sz w:val="24"/>
                <w:szCs w:val="24"/>
                <w:highlight w:val="none"/>
              </w:rPr>
              <w:t>±2</w:t>
            </w:r>
            <w:r>
              <w:rPr>
                <w:rFonts w:hint="eastAsia" w:asciiTheme="minorEastAsia" w:hAnsiTheme="minorEastAsia" w:cstheme="minorEastAsia"/>
                <w:bCs/>
                <w:sz w:val="24"/>
                <w:szCs w:val="24"/>
                <w:highlight w:val="none"/>
              </w:rPr>
              <w:t>mm</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3、切割水槽柜5座</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4、修复原有中央台（21米</w:t>
            </w:r>
            <w:r>
              <w:rPr>
                <w:rFonts w:hint="eastAsia"/>
                <w:sz w:val="24"/>
                <w:szCs w:val="24"/>
                <w:highlight w:val="none"/>
              </w:rPr>
              <w:t>±2mm</w:t>
            </w:r>
            <w:r>
              <w:rPr>
                <w:rFonts w:hint="eastAsia" w:asciiTheme="minorEastAsia" w:hAnsiTheme="minorEastAsia" w:cstheme="minorEastAsia"/>
                <w:bCs/>
                <w:sz w:val="24"/>
                <w:szCs w:val="24"/>
                <w:highlight w:val="none"/>
              </w:rPr>
              <w:t>）、边台（10.25米</w:t>
            </w:r>
            <w:r>
              <w:rPr>
                <w:rFonts w:hint="eastAsia"/>
                <w:sz w:val="24"/>
                <w:szCs w:val="24"/>
                <w:highlight w:val="none"/>
              </w:rPr>
              <w:t>±2mm</w:t>
            </w:r>
            <w:r>
              <w:rPr>
                <w:rFonts w:hint="eastAsia" w:asciiTheme="minorEastAsia" w:hAnsiTheme="minorEastAsia" w:cstheme="minorEastAsia"/>
                <w:bCs/>
                <w:sz w:val="24"/>
                <w:szCs w:val="24"/>
                <w:highlight w:val="none"/>
              </w:rPr>
              <w:t>）修复门板及铰链以及水电改造</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5、原有通风罩整体拆除，原有中央台旧通风罩3套</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 xml:space="preserve">/张中央台，两间实验室共计36套 </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6、配套灯具拆除及整理</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吊杆及固定件等辅材拆除、清理</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7、现场拆除家具/垃圾搬运与清理</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套</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1</w:t>
            </w:r>
          </w:p>
        </w:tc>
      </w:tr>
      <w:tr>
        <w:tblPrEx>
          <w:tblCellMar>
            <w:top w:w="0" w:type="dxa"/>
            <w:left w:w="0" w:type="dxa"/>
            <w:bottom w:w="0" w:type="dxa"/>
            <w:right w:w="0" w:type="dxa"/>
          </w:tblCellMar>
        </w:tblPrEx>
        <w:trPr>
          <w:trHeight w:val="84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包1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1-5</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通风系统</w:t>
            </w:r>
          </w:p>
        </w:tc>
        <w:tc>
          <w:tcPr>
            <w:tcW w:w="5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1、玻璃钢离心风机，功率:4kw，转数:1450r/min.风机风量：6677-13353m³/h；风压：1139-524pa；距风机最远端的通风罩口排风风速可达0.5m/s；</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2、采用电机，使用寿命长，适用一定浓度的腐蚀性气体；电机电源为380V，电线为三相五线制；外壳采用玻璃钢材质，具有美观大方，安全防腐等特点；排放气体温度低于50℃；</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3、风机：风机出口应设有防雨帽和防昆虫及啮齿动物的网。采用优质玻璃钢离心风机，且应能够完全满足系统功能和克服现场大气环境的影响，并具备以下特点：</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3.1 风机选用优质耐酸碱腐蚀的玻璃钢离心排风机，满足风量、风压要求，其叶轮为翼型离心式，风机效率不低于75%，具体参数详见设备清单；</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3.2轴心材质∶ S45C（玻璃钢包覆或环氧树脂喷涂）;机架材质∶ SS41+EPOXY（环氧树脂喷涂）；</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3.3选用的风机应满足节能的需要；</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3.4 风机结构紧凑、噪声低、防爆、耐腐蚀、耐高温、强度高、使用寿命长;运行效率高、高效区平坦、性能稳定可靠，风速、风量稳定；</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3.5离心风机外壳及叶轮采用玻璃钢一体成型，外壳材质：FRP耐酸碱树脂制作（玻璃钢），叶轮材质：FRP耐酸碱树脂制作（全乙烯基树脂）；</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3.6离心风机马达：采用优质电机，马达电源：3相、380V、50Hz、IP55、F级绝缘 ；</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3.7转子动平衡：符合JB/T 9101规范之2.5mm/s等级；</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3.8离心风机机组震动：符合JB/T 8689规范之4.5mm/s等级；</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3.9离心风机需要提供标准状况下空气动力性能检测报告（需由国家权威机构或第三方</w:t>
            </w:r>
            <w:r>
              <w:rPr>
                <w:rFonts w:hint="eastAsia" w:asciiTheme="minorEastAsia" w:hAnsiTheme="minorEastAsia" w:cstheme="minorEastAsia"/>
                <w:bCs/>
                <w:sz w:val="24"/>
                <w:szCs w:val="24"/>
                <w:highlight w:val="none"/>
                <w:lang w:eastAsia="zh-CN"/>
              </w:rPr>
              <w:t>机构</w:t>
            </w:r>
            <w:r>
              <w:rPr>
                <w:rFonts w:hint="eastAsia" w:asciiTheme="minorEastAsia" w:hAnsiTheme="minorEastAsia" w:cstheme="minorEastAsia"/>
                <w:bCs/>
                <w:sz w:val="24"/>
                <w:szCs w:val="24"/>
                <w:highlight w:val="none"/>
              </w:rPr>
              <w:t>出具的检测报告）；</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3.10玻璃钢离心风机噪声及特性曲线比A声级≦于16dB；</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3.11玻璃钢离心风机轴承温度≦12°；</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3.12离心风机能源效率等级判定至少达到2级；</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3.13离心风机制造厂家通过ISO9001及CE认证；</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3.14贯彻国家节能环保要求，满足节能要求，风机需取得国家CQC节能认证，通风风机产品能源效率按照GB19761-2009的规定效率二级以上或者达到一级（由国家能效标识网备案）。需提供相关证明文件予以佐证。</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3.15风机的机械安全装置护罩符合国际标准化ISO 12499∶199规定各项安全要求（采用国际标准产品）</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4、实验室专用PP风管（长宽：500*500</w:t>
            </w:r>
            <w:r>
              <w:rPr>
                <w:rFonts w:hint="eastAsia"/>
                <w:sz w:val="24"/>
                <w:szCs w:val="24"/>
                <w:highlight w:val="none"/>
              </w:rPr>
              <w:t>±2mm</w:t>
            </w:r>
            <w:r>
              <w:rPr>
                <w:rFonts w:hint="eastAsia" w:asciiTheme="minorEastAsia" w:hAnsiTheme="minorEastAsia" w:cstheme="minorEastAsia"/>
                <w:bCs/>
                <w:sz w:val="24"/>
                <w:szCs w:val="24"/>
                <w:highlight w:val="none"/>
              </w:rPr>
              <w:t>、Ф400</w:t>
            </w:r>
            <w:r>
              <w:rPr>
                <w:rFonts w:hint="eastAsia"/>
                <w:sz w:val="24"/>
                <w:szCs w:val="24"/>
                <w:highlight w:val="none"/>
              </w:rPr>
              <w:t>±2mm</w:t>
            </w:r>
            <w:r>
              <w:rPr>
                <w:rFonts w:hint="eastAsia" w:asciiTheme="minorEastAsia" w:hAnsiTheme="minorEastAsia" w:cstheme="minorEastAsia"/>
                <w:bCs/>
                <w:sz w:val="24"/>
                <w:szCs w:val="24"/>
                <w:highlight w:val="none"/>
              </w:rPr>
              <w:t>、Ф315</w:t>
            </w:r>
            <w:r>
              <w:rPr>
                <w:rFonts w:hint="eastAsia"/>
                <w:sz w:val="24"/>
                <w:szCs w:val="24"/>
                <w:highlight w:val="none"/>
              </w:rPr>
              <w:t>±2mm</w:t>
            </w:r>
            <w:r>
              <w:rPr>
                <w:rFonts w:hint="eastAsia" w:asciiTheme="minorEastAsia" w:hAnsiTheme="minorEastAsia" w:cstheme="minorEastAsia"/>
                <w:bCs/>
                <w:sz w:val="24"/>
                <w:szCs w:val="24"/>
                <w:highlight w:val="none"/>
              </w:rPr>
              <w:t>、Ф250</w:t>
            </w:r>
            <w:r>
              <w:rPr>
                <w:rFonts w:hint="eastAsia"/>
                <w:sz w:val="24"/>
                <w:szCs w:val="24"/>
                <w:highlight w:val="none"/>
              </w:rPr>
              <w:t>±2mm</w:t>
            </w:r>
            <w:r>
              <w:rPr>
                <w:rFonts w:hint="eastAsia" w:asciiTheme="minorEastAsia" w:hAnsiTheme="minorEastAsia" w:cstheme="minorEastAsia"/>
                <w:bCs/>
                <w:sz w:val="24"/>
                <w:szCs w:val="24"/>
                <w:highlight w:val="none"/>
              </w:rPr>
              <w:t>、Ф200</w:t>
            </w:r>
            <w:r>
              <w:rPr>
                <w:rFonts w:hint="eastAsia"/>
                <w:sz w:val="24"/>
                <w:szCs w:val="24"/>
                <w:highlight w:val="none"/>
              </w:rPr>
              <w:t>±2mm</w:t>
            </w:r>
            <w:r>
              <w:rPr>
                <w:rFonts w:hint="eastAsia" w:asciiTheme="minorEastAsia" w:hAnsiTheme="minorEastAsia" w:cstheme="minorEastAsia"/>
                <w:bCs/>
                <w:sz w:val="24"/>
                <w:szCs w:val="24"/>
                <w:highlight w:val="none"/>
              </w:rPr>
              <w:t>、Ф160</w:t>
            </w:r>
            <w:r>
              <w:rPr>
                <w:rFonts w:hint="eastAsia"/>
                <w:sz w:val="24"/>
                <w:szCs w:val="24"/>
                <w:highlight w:val="none"/>
              </w:rPr>
              <w:t>±2mm</w:t>
            </w:r>
            <w:r>
              <w:rPr>
                <w:rFonts w:hint="eastAsia" w:asciiTheme="minorEastAsia" w:hAnsiTheme="minorEastAsia" w:cstheme="minorEastAsia"/>
                <w:bCs/>
                <w:sz w:val="24"/>
                <w:szCs w:val="24"/>
                <w:highlight w:val="none"/>
              </w:rPr>
              <w:t>、Ф110mm</w:t>
            </w:r>
            <w:r>
              <w:rPr>
                <w:rFonts w:hint="eastAsia"/>
                <w:sz w:val="24"/>
                <w:szCs w:val="24"/>
                <w:highlight w:val="none"/>
              </w:rPr>
              <w:t>±2mm</w:t>
            </w:r>
            <w:r>
              <w:rPr>
                <w:rFonts w:hint="eastAsia" w:asciiTheme="minorEastAsia" w:hAnsiTheme="minorEastAsia" w:cstheme="minorEastAsia"/>
                <w:bCs/>
                <w:sz w:val="24"/>
                <w:szCs w:val="24"/>
                <w:highlight w:val="none"/>
              </w:rPr>
              <w:t>）。</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5、配套PP材质消音器 尺寸：φ600</w:t>
            </w:r>
            <w:r>
              <w:rPr>
                <w:rFonts w:hint="eastAsia"/>
                <w:sz w:val="24"/>
                <w:szCs w:val="24"/>
                <w:highlight w:val="none"/>
              </w:rPr>
              <w:t>±2mm</w:t>
            </w:r>
            <w:r>
              <w:rPr>
                <w:rFonts w:hint="eastAsia" w:asciiTheme="minorEastAsia" w:hAnsiTheme="minorEastAsia" w:cstheme="minorEastAsia"/>
                <w:bCs/>
                <w:sz w:val="24"/>
                <w:szCs w:val="24"/>
                <w:highlight w:val="none"/>
              </w:rPr>
              <w:t>*(长宽：800</w:t>
            </w:r>
            <w:r>
              <w:rPr>
                <w:rFonts w:hint="eastAsia"/>
                <w:sz w:val="24"/>
                <w:szCs w:val="24"/>
                <w:highlight w:val="none"/>
              </w:rPr>
              <w:t>±2mm</w:t>
            </w:r>
            <w:r>
              <w:rPr>
                <w:rFonts w:hint="eastAsia" w:asciiTheme="minorEastAsia" w:hAnsiTheme="minorEastAsia" w:cstheme="minorEastAsia"/>
                <w:bCs/>
                <w:sz w:val="24"/>
                <w:szCs w:val="24"/>
                <w:highlight w:val="none"/>
              </w:rPr>
              <w:t>*1000</w:t>
            </w:r>
            <w:r>
              <w:rPr>
                <w:rFonts w:hint="eastAsia"/>
                <w:sz w:val="24"/>
                <w:szCs w:val="24"/>
                <w:highlight w:val="none"/>
              </w:rPr>
              <w:t>±2</w:t>
            </w:r>
            <w:r>
              <w:rPr>
                <w:rFonts w:hint="eastAsia" w:asciiTheme="minorEastAsia" w:hAnsiTheme="minorEastAsia" w:cstheme="minorEastAsia"/>
                <w:bCs/>
                <w:sz w:val="24"/>
                <w:szCs w:val="24"/>
                <w:highlight w:val="none"/>
              </w:rPr>
              <w:t>mm）</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6、国标水泥基座</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7、高空作业</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8、吊顶修复</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9、取孔</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10、手动调节阀</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11、防火阀（长宽：500</w:t>
            </w:r>
            <w:r>
              <w:rPr>
                <w:rFonts w:hint="eastAsia"/>
                <w:sz w:val="24"/>
                <w:szCs w:val="24"/>
                <w:highlight w:val="none"/>
              </w:rPr>
              <w:t>±2mm</w:t>
            </w:r>
            <w:r>
              <w:rPr>
                <w:rFonts w:hint="eastAsia" w:asciiTheme="minorEastAsia" w:hAnsiTheme="minorEastAsia" w:cstheme="minorEastAsia"/>
                <w:bCs/>
                <w:sz w:val="24"/>
                <w:szCs w:val="24"/>
                <w:highlight w:val="none"/>
              </w:rPr>
              <w:t>*500</w:t>
            </w:r>
            <w:r>
              <w:rPr>
                <w:rFonts w:hint="eastAsia"/>
                <w:sz w:val="24"/>
                <w:szCs w:val="24"/>
                <w:highlight w:val="none"/>
              </w:rPr>
              <w:t>±2</w:t>
            </w:r>
            <w:r>
              <w:rPr>
                <w:rFonts w:hint="eastAsia" w:asciiTheme="minorEastAsia" w:hAnsiTheme="minorEastAsia" w:cstheme="minorEastAsia"/>
                <w:bCs/>
                <w:sz w:val="24"/>
                <w:szCs w:val="24"/>
                <w:highlight w:val="none"/>
              </w:rPr>
              <w:t>mm，碳钢材质）</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驱动转矩（标准条款号GB15930-2007，6.3&amp; 7.4）：叶片关闭力在主轴上所产生的驱动转矩应大于等于叶片关闭时主动轴上所需转矩的17.1倍。</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复位功能（标准条款号GB15930-2007，6.4 &amp; 7.5）：应具备复位功能，其操作应方便、灵活、可靠</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温感器控制（标准条款号GB15930-2007，6.5 &amp; 7.6）：</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防火阀应具备温感器控制方式，使其自动关闭。</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防火阀的温感器在65℃±0.5℃的恒温水浴中5min内应不动作。</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防火阀的温感器在73℃±0.5℃的恒温水浴中0.3min内应动作。</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手动控制（标准条款号GB15930-2007，6.6 &amp; 7.7）：</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防火阀宜具备手动关闭方式，手动操作应方便、灵活、可靠。</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手动关闭或开启操作力应不大于或等于14N。</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电动控制（标准条款号GB15930-2007，6.7 &amp; 7.8）：</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防火阀宜具备电动关闭方式，具有远距离复位功能的阀门，当通电动作后，应具有显示阀门叶片位置的信号输出；</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阀门执行机构中电控电路的工作电压宜采用DC24V的额定工作电压，其额定工作电流应不大于或等于0.6A；</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在实际电源电压低于额定工作电压15%和高于额定工作电压10%时，阀门应能正常进行电控操作。</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绝缘性能，MΩ（标准条款号GB15930-2007，6. 8 &amp; 7.9）：阀门有绝缘要求的外部带电端子与阀体之间的绝缘电阻在常温下应大于或等于240MΩ。</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关闭可靠性（标准条款号GB15930-2007，6. 9.1 &amp; 7.10.1）：防火阀经过50次关开试验后，各零部件应无明显变形、磨损及其他影响其密封性能的损伤，叶片仍能从打开位置灵活可靠地关闭；</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耐腐蚀性（标准条款号GB15930-2007，6. 10 &amp; 7.11）：经过5个周期，共120h的盐雾腐蚀试验后，阀门应能正常启动；</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环境温度下的漏风量（标准条款号GB15930-2007，6. 11.1 &amp; 7.12）：在环境温度下，使防火阀叶片两侧保持300Pa±15Pa的气体静压差，其单位面积上的漏风量（标准状态）应不大于173m³/（㎡·h）；</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耐火性能（标准条款号GB15930-2007，6. 12 &amp; 7.13）：</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耐火试验开始后0.6min内，防火阀的温感器应动作，阀门关闭；</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在规定的耐火时间内，使防火阀叶片两侧保持300Pa±15Pa的气体静压差，其单位面积上的漏烟量（标准状态）应不大于或等于168m³/（㎡·h）；</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在规定的耐火时间内，防火阀表面不应出现连续10s以上的火焰；</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防火阀的耐火时间应不小于1.50h；</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需提供符合以上技术参数的国家级检验中心出具的检测报告；</w:t>
            </w:r>
          </w:p>
          <w:p>
            <w:pPr>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12、风管变径、弯头、三通、直接。</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套</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2</w:t>
            </w:r>
          </w:p>
        </w:tc>
      </w:tr>
    </w:tbl>
    <w:p>
      <w:pPr>
        <w:jc w:val="center"/>
        <w:rPr>
          <w:rFonts w:asciiTheme="minorEastAsia" w:hAnsiTheme="minorEastAsia" w:cstheme="minorEastAsia"/>
          <w:bCs/>
          <w:sz w:val="24"/>
          <w:highlight w:val="none"/>
        </w:rPr>
      </w:pPr>
    </w:p>
    <w:p>
      <w:pPr>
        <w:spacing w:line="360" w:lineRule="auto"/>
        <w:outlineLvl w:val="2"/>
        <w:rPr>
          <w:rFonts w:ascii="宋体" w:hAnsi="宋体"/>
          <w:b/>
          <w:sz w:val="24"/>
          <w:szCs w:val="24"/>
          <w:highlight w:val="none"/>
        </w:rPr>
      </w:pPr>
      <w:r>
        <w:rPr>
          <w:rFonts w:hint="eastAsia" w:ascii="宋体" w:hAnsi="宋体"/>
          <w:b/>
          <w:sz w:val="24"/>
          <w:szCs w:val="24"/>
          <w:highlight w:val="none"/>
        </w:rPr>
        <w:t>（二）、服务要求</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1）本次采购货物的免费保修期为货物验收合格之日起不少于12个月（国家或厂家对设备或配件另有约定更长免费保修期限的从其约定），软件免费升级，在免费保修期内如出现故障，中标供应商应免费提供咨询、维修服务，包括免费更换零部件。</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2）免费保修期内货物一旦出现故障，中标供应商响应时间不超过4小时，检修人员应在12小时内到设备安装地点及时排除故障，24小时内解决问题并恢复正常使用。如故障无法排除，中标供应商应负责使用替代设备，其费用由中标供应商承担。保修期过后对设备故障需要更换的配件将以成本价提供。</w:t>
      </w:r>
    </w:p>
    <w:p>
      <w:pPr>
        <w:spacing w:line="360" w:lineRule="auto"/>
        <w:ind w:firstLine="120" w:firstLineChars="50"/>
        <w:rPr>
          <w:rFonts w:ascii="宋体" w:hAnsi="宋体"/>
          <w:sz w:val="24"/>
          <w:szCs w:val="24"/>
          <w:highlight w:val="none"/>
        </w:rPr>
      </w:pPr>
    </w:p>
    <w:p>
      <w:pPr>
        <w:widowControl/>
        <w:numPr>
          <w:ilvl w:val="0"/>
          <w:numId w:val="3"/>
        </w:numPr>
        <w:spacing w:before="75" w:after="75" w:line="360" w:lineRule="auto"/>
        <w:jc w:val="left"/>
        <w:outlineLvl w:val="1"/>
        <w:rPr>
          <w:rFonts w:ascii="宋体" w:hAnsi="宋体" w:eastAsia="宋体" w:cs="宋体"/>
          <w:b/>
          <w:bCs/>
          <w:kern w:val="0"/>
          <w:sz w:val="24"/>
          <w:szCs w:val="24"/>
          <w:highlight w:val="none"/>
        </w:rPr>
      </w:pPr>
      <w:r>
        <w:rPr>
          <w:rFonts w:ascii="宋体" w:hAnsi="宋体" w:eastAsia="宋体" w:cs="宋体"/>
          <w:b/>
          <w:bCs/>
          <w:kern w:val="0"/>
          <w:sz w:val="24"/>
          <w:szCs w:val="24"/>
          <w:highlight w:val="none"/>
        </w:rPr>
        <w:t>商务条件</w:t>
      </w:r>
    </w:p>
    <w:p>
      <w:pPr>
        <w:widowControl/>
        <w:spacing w:before="75" w:after="75" w:line="360" w:lineRule="auto"/>
        <w:jc w:val="left"/>
        <w:rPr>
          <w:szCs w:val="21"/>
          <w:highlight w:val="none"/>
        </w:rPr>
      </w:pPr>
      <w:r>
        <w:rPr>
          <w:rFonts w:ascii="宋体" w:hAnsi="宋体" w:cs="宋体"/>
          <w:sz w:val="24"/>
          <w:szCs w:val="24"/>
          <w:highlight w:val="none"/>
        </w:rPr>
        <w:t>1</w:t>
      </w:r>
      <w:r>
        <w:rPr>
          <w:rFonts w:hint="eastAsia" w:ascii="宋体" w:hAnsi="宋体" w:cs="宋体"/>
          <w:sz w:val="24"/>
          <w:szCs w:val="24"/>
          <w:highlight w:val="none"/>
        </w:rPr>
        <w:t xml:space="preserve">、交付地点：福建省泉州市丰泽区东海大街398号泉州师范学院。 </w:t>
      </w:r>
      <w:r>
        <w:rPr>
          <w:rFonts w:ascii="宋体" w:hAnsi="宋体" w:cs="宋体"/>
          <w:sz w:val="24"/>
          <w:szCs w:val="24"/>
          <w:highlight w:val="none"/>
        </w:rPr>
        <w:br w:type="textWrapping"/>
      </w:r>
      <w:r>
        <w:rPr>
          <w:rFonts w:hint="eastAsia" w:ascii="宋体" w:hAnsi="宋体" w:cs="宋体"/>
          <w:sz w:val="24"/>
          <w:szCs w:val="24"/>
          <w:highlight w:val="none"/>
        </w:rPr>
        <w:t>2、交付时间：合同签订后30天内完成安装及调试并初步验收合格。</w:t>
      </w:r>
      <w:r>
        <w:rPr>
          <w:rFonts w:hint="eastAsia" w:ascii="宋体" w:hAnsi="宋体" w:cs="宋体"/>
          <w:sz w:val="24"/>
          <w:szCs w:val="24"/>
          <w:highlight w:val="none"/>
        </w:rPr>
        <w:br w:type="textWrapping"/>
      </w:r>
      <w:r>
        <w:rPr>
          <w:rFonts w:hint="eastAsia" w:ascii="宋体" w:hAnsi="宋体" w:cs="宋体"/>
          <w:sz w:val="24"/>
          <w:szCs w:val="24"/>
          <w:highlight w:val="none"/>
        </w:rPr>
        <w:t>3、交付条件：整套软件、设备各组成部分必须是完整的、全新的、功能齐全的；并且符合国家质量检测标准的，符合招标文件中的规格型号及配置要求的货物(包括零部件)。</w:t>
      </w:r>
    </w:p>
    <w:p>
      <w:pPr>
        <w:widowControl/>
        <w:numPr>
          <w:ilvl w:val="0"/>
          <w:numId w:val="4"/>
        </w:numPr>
        <w:spacing w:before="75" w:after="75" w:line="360" w:lineRule="auto"/>
        <w:jc w:val="left"/>
        <w:rPr>
          <w:rFonts w:ascii="宋体" w:hAnsi="宋体" w:cs="宋体"/>
          <w:sz w:val="24"/>
          <w:szCs w:val="24"/>
          <w:highlight w:val="none"/>
        </w:rPr>
      </w:pPr>
      <w:r>
        <w:rPr>
          <w:rFonts w:hint="eastAsia" w:ascii="宋体" w:hAnsi="宋体" w:eastAsia="宋体" w:cs="宋体"/>
          <w:kern w:val="0"/>
          <w:sz w:val="24"/>
          <w:szCs w:val="24"/>
          <w:highlight w:val="none"/>
        </w:rPr>
        <w:t>是否收取履约保证金： 是。履约保证金百分比：3%。说明：1、中标供应商在与采购人签订合同前，应向采购人提交按中标金额的3%计算的履约保证金。 2、该履约保证金在正式验收合格后，转为质保金，质保金于设备保修期满（以中标人具体承诺期限为准）后且无质量及售后服务问题时一个月内一次性无息退还。</w:t>
      </w:r>
      <w:r>
        <w:rPr>
          <w:rFonts w:hint="eastAsia" w:ascii="宋体" w:hAnsi="宋体" w:cs="宋体"/>
          <w:sz w:val="24"/>
          <w:szCs w:val="24"/>
          <w:highlight w:val="none"/>
        </w:rPr>
        <w:t>是否允许分包：否。</w:t>
      </w:r>
    </w:p>
    <w:p>
      <w:pPr>
        <w:widowControl/>
        <w:numPr>
          <w:ilvl w:val="0"/>
          <w:numId w:val="4"/>
        </w:numPr>
        <w:spacing w:before="75" w:after="75" w:line="360" w:lineRule="auto"/>
        <w:jc w:val="left"/>
        <w:rPr>
          <w:rFonts w:ascii="宋体" w:hAnsi="宋体" w:eastAsia="宋体" w:cs="宋体"/>
          <w:kern w:val="0"/>
          <w:sz w:val="24"/>
          <w:szCs w:val="24"/>
          <w:highlight w:val="none"/>
        </w:rPr>
      </w:pPr>
      <w:r>
        <w:rPr>
          <w:rFonts w:hint="eastAsia" w:ascii="宋体" w:hAnsi="宋体" w:cs="宋体"/>
          <w:sz w:val="24"/>
          <w:szCs w:val="24"/>
          <w:highlight w:val="none"/>
        </w:rPr>
        <w:t>是否邀请投标人参与验收：否</w:t>
      </w:r>
      <w:r>
        <w:rPr>
          <w:rFonts w:hint="eastAsia" w:ascii="宋体" w:hAnsi="宋体" w:cs="宋体"/>
          <w:sz w:val="24"/>
          <w:szCs w:val="24"/>
          <w:highlight w:val="none"/>
        </w:rPr>
        <w:br w:type="textWrapping"/>
      </w:r>
      <w:r>
        <w:rPr>
          <w:rFonts w:hint="eastAsia" w:ascii="宋体" w:hAnsi="宋体" w:eastAsia="宋体" w:cs="宋体"/>
          <w:kern w:val="0"/>
          <w:sz w:val="24"/>
          <w:szCs w:val="24"/>
          <w:highlight w:val="none"/>
        </w:rPr>
        <w:t>7</w:t>
      </w:r>
      <w:r>
        <w:rPr>
          <w:rFonts w:ascii="宋体" w:hAnsi="宋体" w:eastAsia="宋体" w:cs="宋体"/>
          <w:kern w:val="0"/>
          <w:sz w:val="24"/>
          <w:szCs w:val="24"/>
          <w:highlight w:val="none"/>
        </w:rPr>
        <w:t xml:space="preserve">、验收方式数据表格 </w:t>
      </w:r>
    </w:p>
    <w:tbl>
      <w:tblPr>
        <w:tblStyle w:val="10"/>
        <w:tblpPr w:leftFromText="180" w:rightFromText="180" w:vertAnchor="text" w:horzAnchor="page" w:tblpX="1807" w:tblpY="694"/>
        <w:tblOverlap w:val="never"/>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7" w:hRule="atLeast"/>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highlight w:val="none"/>
              </w:rPr>
            </w:pPr>
            <w:r>
              <w:rPr>
                <w:rFonts w:ascii="宋体" w:hAnsi="宋体" w:eastAsia="宋体" w:cs="宋体"/>
                <w:kern w:val="0"/>
                <w:sz w:val="24"/>
                <w:szCs w:val="24"/>
                <w:highlight w:val="none"/>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highlight w:val="none"/>
              </w:rPr>
            </w:pPr>
            <w:r>
              <w:rPr>
                <w:rFonts w:ascii="宋体" w:hAnsi="宋体" w:eastAsia="宋体" w:cs="宋体"/>
                <w:kern w:val="0"/>
                <w:sz w:val="24"/>
                <w:szCs w:val="24"/>
                <w:highlight w:val="none"/>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tblCellSpacing w:w="0" w:type="dxa"/>
        </w:trPr>
        <w:tc>
          <w:tcPr>
            <w:tcW w:w="1667" w:type="dxa"/>
            <w:tcBorders>
              <w:top w:val="outset" w:color="auto" w:sz="6" w:space="0"/>
              <w:left w:val="outset" w:color="auto" w:sz="6" w:space="0"/>
              <w:bottom w:val="outset" w:color="auto" w:sz="6" w:space="0"/>
              <w:right w:val="outset" w:color="auto" w:sz="6" w:space="0"/>
            </w:tcBorders>
          </w:tcPr>
          <w:p>
            <w:pPr>
              <w:jc w:val="center"/>
              <w:rPr>
                <w:sz w:val="24"/>
                <w:highlight w:val="none"/>
              </w:rPr>
            </w:pPr>
          </w:p>
          <w:p>
            <w:pPr>
              <w:jc w:val="center"/>
              <w:rPr>
                <w:sz w:val="24"/>
                <w:highlight w:val="none"/>
              </w:rPr>
            </w:pPr>
          </w:p>
          <w:p>
            <w:pPr>
              <w:jc w:val="center"/>
              <w:rPr>
                <w:sz w:val="24"/>
                <w:highlight w:val="none"/>
              </w:rPr>
            </w:pPr>
          </w:p>
          <w:p>
            <w:pPr>
              <w:jc w:val="center"/>
              <w:rPr>
                <w:sz w:val="24"/>
                <w:highlight w:val="none"/>
              </w:rPr>
            </w:pPr>
          </w:p>
          <w:p>
            <w:pPr>
              <w:jc w:val="center"/>
              <w:rPr>
                <w:sz w:val="24"/>
                <w:highlight w:val="none"/>
              </w:rPr>
            </w:pPr>
          </w:p>
          <w:p>
            <w:pPr>
              <w:jc w:val="center"/>
              <w:rPr>
                <w:sz w:val="24"/>
                <w:highlight w:val="none"/>
              </w:rPr>
            </w:pPr>
          </w:p>
          <w:p>
            <w:pPr>
              <w:jc w:val="center"/>
              <w:rPr>
                <w:sz w:val="24"/>
                <w:highlight w:val="none"/>
              </w:rPr>
            </w:pPr>
          </w:p>
          <w:p>
            <w:pPr>
              <w:jc w:val="center"/>
              <w:rPr>
                <w:sz w:val="24"/>
                <w:highlight w:val="none"/>
              </w:rPr>
            </w:pPr>
          </w:p>
          <w:p>
            <w:pPr>
              <w:jc w:val="center"/>
              <w:rPr>
                <w:sz w:val="24"/>
                <w:highlight w:val="none"/>
              </w:rPr>
            </w:pPr>
          </w:p>
          <w:p>
            <w:pPr>
              <w:jc w:val="center"/>
              <w:rPr>
                <w:sz w:val="24"/>
                <w:highlight w:val="none"/>
              </w:rPr>
            </w:pPr>
          </w:p>
          <w:p>
            <w:pPr>
              <w:jc w:val="center"/>
              <w:rPr>
                <w:sz w:val="24"/>
                <w:highlight w:val="none"/>
              </w:rPr>
            </w:pPr>
          </w:p>
          <w:p>
            <w:pPr>
              <w:jc w:val="center"/>
              <w:rPr>
                <w:sz w:val="24"/>
                <w:highlight w:val="none"/>
              </w:rPr>
            </w:pPr>
          </w:p>
          <w:p>
            <w:pPr>
              <w:jc w:val="center"/>
              <w:rPr>
                <w:rFonts w:ascii="宋体" w:hAnsi="宋体" w:eastAsia="宋体" w:cs="宋体"/>
                <w:kern w:val="0"/>
                <w:sz w:val="24"/>
                <w:szCs w:val="24"/>
                <w:highlight w:val="none"/>
              </w:rPr>
            </w:pPr>
            <w:r>
              <w:rPr>
                <w:sz w:val="24"/>
                <w:highlight w:val="none"/>
              </w:rPr>
              <w:t>1</w:t>
            </w:r>
          </w:p>
        </w:tc>
        <w:tc>
          <w:tcPr>
            <w:tcW w:w="6669" w:type="dxa"/>
            <w:tcBorders>
              <w:top w:val="outset" w:color="auto" w:sz="6" w:space="0"/>
              <w:left w:val="outset" w:color="auto" w:sz="6" w:space="0"/>
              <w:bottom w:val="outset" w:color="auto" w:sz="6" w:space="0"/>
              <w:right w:val="outset" w:color="auto" w:sz="6" w:space="0"/>
            </w:tcBorders>
            <w:vAlign w:val="top"/>
          </w:tcPr>
          <w:p>
            <w:pPr>
              <w:spacing w:line="360" w:lineRule="auto"/>
              <w:jc w:val="both"/>
              <w:rPr>
                <w:rFonts w:ascii="宋体" w:hAnsi="宋体" w:eastAsia="宋体" w:cs="宋体"/>
                <w:kern w:val="0"/>
                <w:sz w:val="24"/>
                <w:szCs w:val="24"/>
                <w:highlight w:val="none"/>
              </w:rPr>
            </w:pPr>
            <w:r>
              <w:rPr>
                <w:sz w:val="24"/>
                <w:highlight w:val="none"/>
              </w:rPr>
              <w:t>1</w:t>
            </w:r>
            <w:r>
              <w:rPr>
                <w:rFonts w:hint="eastAsia"/>
                <w:sz w:val="24"/>
                <w:highlight w:val="none"/>
              </w:rPr>
              <w:t>、采购单位根据招标文件和合同所规定的技术要求、规格质量及其它要求，组成项目验收小组对采购项目进行验收，验收合格后，签发《政府采购验收单》。</w:t>
            </w:r>
            <w:r>
              <w:rPr>
                <w:sz w:val="24"/>
                <w:highlight w:val="none"/>
              </w:rPr>
              <w:t xml:space="preserve"> 2</w:t>
            </w:r>
            <w:r>
              <w:rPr>
                <w:rFonts w:hint="eastAsia"/>
                <w:sz w:val="24"/>
                <w:highlight w:val="none"/>
              </w:rPr>
              <w:t>、项目验收</w:t>
            </w:r>
            <w:bookmarkStart w:id="0" w:name="_GoBack"/>
            <w:bookmarkEnd w:id="0"/>
            <w:r>
              <w:rPr>
                <w:rFonts w:hint="eastAsia"/>
                <w:sz w:val="24"/>
                <w:highlight w:val="none"/>
              </w:rPr>
              <w:t>小组应为</w:t>
            </w:r>
            <w:r>
              <w:rPr>
                <w:sz w:val="24"/>
                <w:highlight w:val="none"/>
              </w:rPr>
              <w:t>3</w:t>
            </w:r>
            <w:r>
              <w:rPr>
                <w:rFonts w:hint="eastAsia"/>
                <w:sz w:val="24"/>
                <w:highlight w:val="none"/>
              </w:rPr>
              <w:t>人以上（含</w:t>
            </w:r>
            <w:r>
              <w:rPr>
                <w:sz w:val="24"/>
                <w:highlight w:val="none"/>
              </w:rPr>
              <w:t>3</w:t>
            </w:r>
            <w:r>
              <w:rPr>
                <w:rFonts w:hint="eastAsia"/>
                <w:sz w:val="24"/>
                <w:highlight w:val="none"/>
              </w:rPr>
              <w:t>人）单数。</w:t>
            </w:r>
            <w:r>
              <w:rPr>
                <w:sz w:val="24"/>
                <w:highlight w:val="none"/>
              </w:rPr>
              <w:t xml:space="preserve"> 3</w:t>
            </w:r>
            <w:r>
              <w:rPr>
                <w:rFonts w:hint="eastAsia"/>
                <w:sz w:val="24"/>
                <w:highlight w:val="none"/>
              </w:rPr>
              <w:t>、验收规范：生产厂家的产品说明书、合格证书及技术资料等；国家现行规范；当地监督管理部门要求的安全规范以及采购文件的规定。</w:t>
            </w:r>
            <w:r>
              <w:rPr>
                <w:sz w:val="24"/>
                <w:highlight w:val="none"/>
              </w:rPr>
              <w:t xml:space="preserve"> 4</w:t>
            </w:r>
            <w:r>
              <w:rPr>
                <w:rFonts w:hint="eastAsia"/>
                <w:sz w:val="24"/>
                <w:highlight w:val="none"/>
              </w:rPr>
              <w:t>、验收程序：货物验收分出厂检验、货到初步验收、安装调试验收三个阶段。</w:t>
            </w:r>
            <w:r>
              <w:rPr>
                <w:sz w:val="24"/>
                <w:highlight w:val="none"/>
              </w:rPr>
              <w:t xml:space="preserve"> 5</w:t>
            </w:r>
            <w:r>
              <w:rPr>
                <w:rFonts w:hint="eastAsia"/>
                <w:sz w:val="24"/>
                <w:highlight w:val="none"/>
              </w:rPr>
              <w:t>、出厂检验：</w:t>
            </w:r>
            <w:r>
              <w:rPr>
                <w:rFonts w:hint="eastAsia" w:ascii="宋体" w:hAnsi="宋体" w:cs="宋体"/>
                <w:kern w:val="0"/>
                <w:sz w:val="24"/>
                <w:highlight w:val="none"/>
              </w:rPr>
              <w:t>中标人需提供设备、安装材料、工具、软件包和文件的发货清单和计划，发货计划应经采购人认可后实施。中标人负责所提供产品的出厂检验，保证产品原产地和技术指标的真实性、完整性、合法性，在采购人指定地点进行统一设备、软件设置和安装，并负责将产品送达交货地点，并向采购人提供货物制造</w:t>
            </w:r>
            <w:r>
              <w:rPr>
                <w:rFonts w:hint="eastAsia" w:ascii="宋体" w:hAnsi="宋体" w:cs="宋体"/>
                <w:color w:val="000000"/>
                <w:kern w:val="0"/>
                <w:sz w:val="24"/>
                <w:highlight w:val="none"/>
              </w:rPr>
              <w:t>厂的出厂检验报告、质</w:t>
            </w:r>
            <w:r>
              <w:rPr>
                <w:rFonts w:hint="eastAsia" w:ascii="宋体" w:hAnsi="宋体" w:cs="宋体"/>
                <w:kern w:val="0"/>
                <w:sz w:val="24"/>
                <w:highlight w:val="none"/>
              </w:rPr>
              <w:t>量合格证书。采购人（或采购人授权单位）在设备（含软件）到货后，将按合同规定对所交货物进行清点、核对和商检。</w:t>
            </w:r>
            <w:r>
              <w:rPr>
                <w:sz w:val="24"/>
                <w:highlight w:val="none"/>
              </w:rPr>
              <w:t>6</w:t>
            </w:r>
            <w:r>
              <w:rPr>
                <w:rFonts w:hint="eastAsia"/>
                <w:sz w:val="24"/>
                <w:highlight w:val="none"/>
              </w:rPr>
              <w:t>、初步验收：货物到达交货地点后</w:t>
            </w:r>
            <w:r>
              <w:rPr>
                <w:rFonts w:hint="eastAsia"/>
                <w:color w:val="000000"/>
                <w:sz w:val="24"/>
                <w:highlight w:val="none"/>
              </w:rPr>
              <w:t>，由采购人会</w:t>
            </w:r>
            <w:r>
              <w:rPr>
                <w:rFonts w:hint="eastAsia"/>
                <w:sz w:val="24"/>
                <w:highlight w:val="none"/>
              </w:rPr>
              <w:t>同有关部门进行基本质量和数量的验收（但不作为最终合格的保证）。该验收应达到合同规定的要求。</w:t>
            </w:r>
            <w:r>
              <w:rPr>
                <w:sz w:val="24"/>
                <w:highlight w:val="none"/>
              </w:rPr>
              <w:t xml:space="preserve"> 7</w:t>
            </w:r>
            <w:r>
              <w:rPr>
                <w:rFonts w:hint="eastAsia"/>
                <w:sz w:val="24"/>
                <w:highlight w:val="none"/>
              </w:rPr>
              <w:t>、安装调试验收：中标人根据采购要求进行产品安装、调试后，由采购人进行使用性能方面的验收（最终验收）。各项指标和参数应符合验收标准，凡未达到质量要求，作退货处理，中标人承担违约责任。</w:t>
            </w:r>
            <w:r>
              <w:rPr>
                <w:sz w:val="24"/>
                <w:highlight w:val="none"/>
              </w:rPr>
              <w:t xml:space="preserve"> 8</w:t>
            </w:r>
            <w:r>
              <w:rPr>
                <w:rFonts w:hint="eastAsia"/>
                <w:sz w:val="24"/>
                <w:highlight w:val="none"/>
              </w:rPr>
              <w:t>、投标人不得虚报各项技术指标，中标产品若不能符合技术要求，中标人必须无条件及时换货，并承担由此给采购单位造成的一切损失。</w:t>
            </w:r>
            <w:r>
              <w:rPr>
                <w:sz w:val="24"/>
                <w:highlight w:val="none"/>
              </w:rPr>
              <w:t xml:space="preserve"> 9</w:t>
            </w:r>
            <w:r>
              <w:rPr>
                <w:rFonts w:hint="eastAsia"/>
                <w:sz w:val="24"/>
                <w:highlight w:val="none"/>
              </w:rPr>
              <w:t>、安装货</w:t>
            </w:r>
            <w:r>
              <w:rPr>
                <w:rFonts w:hint="eastAsia"/>
                <w:color w:val="000000"/>
                <w:sz w:val="24"/>
                <w:highlight w:val="none"/>
              </w:rPr>
              <w:t>物由中标人按照合同约定的具体数量、地点及时间运送到安装现场进行安装，并负责安装调试工作，经最终验收合格后，交付采购人使用。</w:t>
            </w:r>
            <w:r>
              <w:rPr>
                <w:color w:val="000000"/>
                <w:sz w:val="24"/>
                <w:highlight w:val="none"/>
              </w:rPr>
              <w:t xml:space="preserve"> 10</w:t>
            </w:r>
            <w:r>
              <w:rPr>
                <w:rFonts w:hint="eastAsia"/>
                <w:sz w:val="24"/>
                <w:highlight w:val="none"/>
              </w:rPr>
              <w:t>、培训：中标人应结合本次采购的货物，有计划地对采购人派出管理、维护人员进行安装现场的基本知识、使用、维护及保养技术的培训。</w:t>
            </w:r>
            <w:r>
              <w:rPr>
                <w:sz w:val="24"/>
                <w:highlight w:val="none"/>
              </w:rPr>
              <w:t xml:space="preserve"> 11</w:t>
            </w:r>
            <w:r>
              <w:rPr>
                <w:rFonts w:hint="eastAsia"/>
                <w:sz w:val="24"/>
                <w:highlight w:val="none"/>
              </w:rPr>
              <w:t>、技术资料要求</w:t>
            </w:r>
            <w:r>
              <w:rPr>
                <w:sz w:val="24"/>
                <w:highlight w:val="none"/>
              </w:rPr>
              <w:t xml:space="preserve"> 1</w:t>
            </w:r>
            <w:r>
              <w:rPr>
                <w:rFonts w:hint="eastAsia"/>
                <w:sz w:val="24"/>
                <w:highlight w:val="none"/>
              </w:rPr>
              <w:t>）、包装和装箱的详细情况说明；</w:t>
            </w:r>
            <w:r>
              <w:rPr>
                <w:sz w:val="24"/>
                <w:highlight w:val="none"/>
              </w:rPr>
              <w:t xml:space="preserve"> 2</w:t>
            </w:r>
            <w:r>
              <w:rPr>
                <w:rFonts w:hint="eastAsia"/>
                <w:sz w:val="24"/>
                <w:highlight w:val="none"/>
              </w:rPr>
              <w:t>）、中标人应向采购人提供完整的技术资料</w:t>
            </w:r>
            <w:r>
              <w:rPr>
                <w:rFonts w:hint="eastAsia"/>
                <w:color w:val="000000"/>
                <w:sz w:val="24"/>
                <w:highlight w:val="none"/>
              </w:rPr>
              <w:t>中文壹套（技</w:t>
            </w:r>
            <w:r>
              <w:rPr>
                <w:rFonts w:hint="eastAsia"/>
                <w:sz w:val="24"/>
                <w:highlight w:val="none"/>
              </w:rPr>
              <w:t>术说明书、使用说明书、维修手册、安装维修手册、操作手册、常用易消耗品单价等）。</w:t>
            </w:r>
          </w:p>
        </w:tc>
      </w:tr>
    </w:tbl>
    <w:p>
      <w:pPr>
        <w:widowControl/>
        <w:spacing w:before="75" w:after="75"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8.合同款项支付</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50"/>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支付期次</w:t>
            </w:r>
          </w:p>
        </w:tc>
        <w:tc>
          <w:tcPr>
            <w:tcW w:w="1950" w:type="dxa"/>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支付比例（%）</w:t>
            </w:r>
          </w:p>
        </w:tc>
        <w:tc>
          <w:tcPr>
            <w:tcW w:w="5017" w:type="dxa"/>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1次</w:t>
            </w:r>
          </w:p>
        </w:tc>
        <w:tc>
          <w:tcPr>
            <w:tcW w:w="1950" w:type="dxa"/>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5017" w:type="dxa"/>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货到现场安装调试完毕，经正式验收合格并收到税务发票后，采购单位1个月内支付合同总价100%的款项。</w:t>
            </w:r>
          </w:p>
        </w:tc>
      </w:tr>
    </w:tbl>
    <w:p>
      <w:pPr>
        <w:widowControl/>
        <w:spacing w:line="360" w:lineRule="auto"/>
        <w:jc w:val="left"/>
        <w:rPr>
          <w:rFonts w:ascii="宋体" w:hAnsi="宋体" w:cs="宋体"/>
          <w:kern w:val="0"/>
          <w:sz w:val="24"/>
          <w:szCs w:val="24"/>
          <w:highlight w:val="none"/>
        </w:rPr>
      </w:pPr>
    </w:p>
    <w:p>
      <w:pPr>
        <w:widowControl/>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9.付款要求：</w:t>
      </w:r>
    </w:p>
    <w:p>
      <w:pPr>
        <w:widowControl/>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9.1、所有货款均由泉州师范学院支付；</w:t>
      </w:r>
    </w:p>
    <w:p>
      <w:pPr>
        <w:widowControl/>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9.2、支付货款时应提供的资料：</w:t>
      </w:r>
    </w:p>
    <w:p>
      <w:pPr>
        <w:widowControl/>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9.2.1、《泉州师范学院物资采购申请表》、成交通知书、采购验收单及合同的原件。</w:t>
      </w:r>
    </w:p>
    <w:p>
      <w:pPr>
        <w:widowControl/>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9.2.2、正式的完税税务发票复印件（均应加盖采购单位公章及财务专用章）和政府采购计划表（政府采购系统上打印）。</w:t>
      </w:r>
    </w:p>
    <w:p>
      <w:pPr>
        <w:widowControl/>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9.3、付款：在所有货物经安装调试试运行完毕，经正式验收合格并收到税务发票后，采购单位1个月内支付合同总价100%的款项。。</w:t>
      </w:r>
    </w:p>
    <w:p>
      <w:pPr>
        <w:widowControl/>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9.4、成交供应商、收款单位、购货票证开票单位三者应一致，成交供应商收款帐号应为中国人民银行批准的基本帐户。</w:t>
      </w:r>
    </w:p>
    <w:p>
      <w:pPr>
        <w:widowControl/>
        <w:spacing w:line="360" w:lineRule="auto"/>
        <w:jc w:val="lef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10、售后服务要求</w:t>
      </w:r>
    </w:p>
    <w:p>
      <w:pPr>
        <w:adjustRightInd w:val="0"/>
        <w:snapToGrid w:val="0"/>
        <w:spacing w:line="440" w:lineRule="exact"/>
        <w:rPr>
          <w:rFonts w:ascii="宋体" w:hAnsi="宋体"/>
          <w:sz w:val="24"/>
          <w:highlight w:val="none"/>
        </w:rPr>
      </w:pPr>
      <w:r>
        <w:rPr>
          <w:rFonts w:hint="eastAsia" w:asciiTheme="minorEastAsia" w:hAnsiTheme="minorEastAsia" w:cstheme="minorEastAsia"/>
          <w:sz w:val="24"/>
          <w:szCs w:val="24"/>
          <w:highlight w:val="none"/>
        </w:rPr>
        <w:t>10.1、成交供应商</w:t>
      </w:r>
      <w:r>
        <w:rPr>
          <w:rFonts w:ascii="宋体" w:hAnsi="宋体"/>
          <w:sz w:val="24"/>
          <w:highlight w:val="none"/>
        </w:rPr>
        <w:t>对提供的</w:t>
      </w:r>
      <w:r>
        <w:rPr>
          <w:rFonts w:hint="eastAsia" w:ascii="宋体" w:hAnsi="宋体"/>
          <w:sz w:val="24"/>
          <w:highlight w:val="none"/>
        </w:rPr>
        <w:t>货物或服务</w:t>
      </w:r>
      <w:r>
        <w:rPr>
          <w:rFonts w:ascii="宋体" w:hAnsi="宋体"/>
          <w:sz w:val="24"/>
          <w:highlight w:val="none"/>
        </w:rPr>
        <w:t>，因产品</w:t>
      </w:r>
      <w:r>
        <w:rPr>
          <w:rFonts w:hint="eastAsia" w:ascii="宋体" w:hAnsi="宋体"/>
          <w:sz w:val="24"/>
          <w:highlight w:val="none"/>
        </w:rPr>
        <w:t>及服务</w:t>
      </w:r>
      <w:r>
        <w:rPr>
          <w:rFonts w:ascii="宋体" w:hAnsi="宋体"/>
          <w:sz w:val="24"/>
          <w:highlight w:val="none"/>
        </w:rPr>
        <w:t>质量</w:t>
      </w:r>
      <w:r>
        <w:rPr>
          <w:rFonts w:hint="eastAsia" w:ascii="宋体" w:hAnsi="宋体"/>
          <w:sz w:val="24"/>
          <w:highlight w:val="none"/>
        </w:rPr>
        <w:t>、或知识产权纠纷等问题</w:t>
      </w:r>
      <w:r>
        <w:rPr>
          <w:rFonts w:ascii="宋体" w:hAnsi="宋体"/>
          <w:sz w:val="24"/>
          <w:highlight w:val="none"/>
        </w:rPr>
        <w:t>，必须提供保修、包换、包退</w:t>
      </w:r>
      <w:r>
        <w:rPr>
          <w:rFonts w:hint="eastAsia" w:ascii="宋体" w:hAnsi="宋体"/>
          <w:sz w:val="24"/>
          <w:highlight w:val="none"/>
        </w:rPr>
        <w:t>等</w:t>
      </w:r>
      <w:r>
        <w:rPr>
          <w:rFonts w:ascii="宋体" w:hAnsi="宋体"/>
          <w:sz w:val="24"/>
          <w:highlight w:val="none"/>
        </w:rPr>
        <w:t>服务。</w:t>
      </w:r>
    </w:p>
    <w:p>
      <w:pPr>
        <w:widowControl/>
        <w:spacing w:before="75" w:after="75"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10.2、成交供应商应负责向采购人人提供所购产品自行安装解决方案，以保证其对所购产品的长久使用权。并终身免费提供应用咨询及技术帮助。</w:t>
      </w:r>
    </w:p>
    <w:p>
      <w:pPr>
        <w:adjustRightInd w:val="0"/>
        <w:snapToGrid w:val="0"/>
        <w:spacing w:line="440" w:lineRule="exact"/>
        <w:rPr>
          <w:rFonts w:ascii="宋体" w:hAnsi="宋体"/>
          <w:sz w:val="24"/>
          <w:highlight w:val="none"/>
        </w:rPr>
      </w:pPr>
      <w:r>
        <w:rPr>
          <w:rFonts w:hint="eastAsia" w:asciiTheme="minorEastAsia" w:hAnsiTheme="minorEastAsia" w:cstheme="minorEastAsia"/>
          <w:sz w:val="24"/>
          <w:szCs w:val="24"/>
          <w:highlight w:val="none"/>
        </w:rPr>
        <w:t>10.3、</w:t>
      </w:r>
      <w:r>
        <w:rPr>
          <w:rFonts w:hint="eastAsia" w:ascii="宋体" w:hAnsi="宋体"/>
          <w:sz w:val="24"/>
          <w:highlight w:val="none"/>
        </w:rPr>
        <w:t>货物</w:t>
      </w:r>
      <w:r>
        <w:rPr>
          <w:rFonts w:ascii="宋体" w:hAnsi="宋体"/>
          <w:sz w:val="24"/>
          <w:highlight w:val="none"/>
        </w:rPr>
        <w:t>安装调试合格后，</w:t>
      </w:r>
      <w:r>
        <w:rPr>
          <w:rFonts w:hint="eastAsia" w:asciiTheme="minorEastAsia" w:hAnsiTheme="minorEastAsia" w:cstheme="minorEastAsia"/>
          <w:sz w:val="24"/>
          <w:szCs w:val="24"/>
          <w:highlight w:val="none"/>
        </w:rPr>
        <w:t>成交供应商</w:t>
      </w:r>
      <w:r>
        <w:rPr>
          <w:rFonts w:hint="eastAsia" w:ascii="宋体" w:hAnsi="宋体"/>
          <w:sz w:val="24"/>
          <w:highlight w:val="none"/>
        </w:rPr>
        <w:t>负责</w:t>
      </w:r>
      <w:r>
        <w:rPr>
          <w:rFonts w:ascii="宋体" w:hAnsi="宋体"/>
          <w:sz w:val="24"/>
          <w:highlight w:val="none"/>
        </w:rPr>
        <w:t>对用户</w:t>
      </w:r>
      <w:r>
        <w:rPr>
          <w:rFonts w:hint="eastAsia" w:ascii="宋体" w:hAnsi="宋体"/>
          <w:sz w:val="24"/>
          <w:highlight w:val="none"/>
        </w:rPr>
        <w:t>技术人员</w:t>
      </w:r>
      <w:r>
        <w:rPr>
          <w:rFonts w:ascii="宋体" w:hAnsi="宋体"/>
          <w:sz w:val="24"/>
          <w:highlight w:val="none"/>
        </w:rPr>
        <w:t>进行</w:t>
      </w:r>
      <w:r>
        <w:rPr>
          <w:rFonts w:hint="eastAsia" w:ascii="宋体" w:hAnsi="宋体"/>
          <w:sz w:val="24"/>
          <w:highlight w:val="none"/>
        </w:rPr>
        <w:t>免费现场</w:t>
      </w:r>
      <w:r>
        <w:rPr>
          <w:rFonts w:ascii="宋体" w:hAnsi="宋体"/>
          <w:sz w:val="24"/>
          <w:highlight w:val="none"/>
        </w:rPr>
        <w:t>培训</w:t>
      </w:r>
      <w:r>
        <w:rPr>
          <w:rFonts w:hint="eastAsia" w:ascii="宋体" w:hAnsi="宋体"/>
          <w:sz w:val="24"/>
          <w:highlight w:val="none"/>
        </w:rPr>
        <w:t>，</w:t>
      </w:r>
      <w:r>
        <w:rPr>
          <w:rFonts w:ascii="宋体" w:hAnsi="宋体"/>
          <w:sz w:val="24"/>
          <w:highlight w:val="none"/>
        </w:rPr>
        <w:t>培训内容包括</w:t>
      </w:r>
      <w:r>
        <w:rPr>
          <w:rFonts w:hint="eastAsia" w:ascii="宋体" w:hAnsi="宋体"/>
          <w:sz w:val="24"/>
          <w:highlight w:val="none"/>
        </w:rPr>
        <w:t>系统</w:t>
      </w:r>
      <w:r>
        <w:rPr>
          <w:rFonts w:ascii="宋体" w:hAnsi="宋体"/>
          <w:sz w:val="24"/>
          <w:highlight w:val="none"/>
        </w:rPr>
        <w:t>的</w:t>
      </w:r>
      <w:r>
        <w:rPr>
          <w:rFonts w:hint="eastAsia" w:ascii="宋体" w:hAnsi="宋体"/>
          <w:sz w:val="24"/>
          <w:highlight w:val="none"/>
        </w:rPr>
        <w:t>功能</w:t>
      </w:r>
      <w:r>
        <w:rPr>
          <w:rFonts w:ascii="宋体" w:hAnsi="宋体"/>
          <w:sz w:val="24"/>
          <w:highlight w:val="none"/>
        </w:rPr>
        <w:t>、原理、</w:t>
      </w:r>
      <w:r>
        <w:rPr>
          <w:rFonts w:hint="eastAsia" w:ascii="宋体" w:hAnsi="宋体"/>
          <w:sz w:val="24"/>
          <w:highlight w:val="none"/>
        </w:rPr>
        <w:t>使用与</w:t>
      </w:r>
      <w:r>
        <w:rPr>
          <w:rFonts w:ascii="宋体" w:hAnsi="宋体"/>
          <w:sz w:val="24"/>
          <w:highlight w:val="none"/>
        </w:rPr>
        <w:t>维护等</w:t>
      </w:r>
      <w:r>
        <w:rPr>
          <w:rFonts w:hint="eastAsia" w:ascii="宋体" w:hAnsi="宋体"/>
          <w:sz w:val="24"/>
          <w:highlight w:val="none"/>
        </w:rPr>
        <w:t>，</w:t>
      </w:r>
      <w:r>
        <w:rPr>
          <w:rFonts w:ascii="宋体" w:hAnsi="宋体"/>
          <w:sz w:val="24"/>
          <w:highlight w:val="none"/>
        </w:rPr>
        <w:t>培训日程</w:t>
      </w:r>
      <w:r>
        <w:rPr>
          <w:rFonts w:hint="eastAsia" w:ascii="宋体" w:hAnsi="宋体"/>
          <w:sz w:val="24"/>
          <w:highlight w:val="none"/>
        </w:rPr>
        <w:t>视实际情况</w:t>
      </w:r>
      <w:r>
        <w:rPr>
          <w:rFonts w:ascii="宋体" w:hAnsi="宋体"/>
          <w:sz w:val="24"/>
          <w:highlight w:val="none"/>
        </w:rPr>
        <w:t>另定</w:t>
      </w:r>
      <w:r>
        <w:rPr>
          <w:rFonts w:hint="eastAsia" w:ascii="宋体" w:hAnsi="宋体"/>
          <w:sz w:val="24"/>
          <w:highlight w:val="none"/>
        </w:rPr>
        <w:t>。</w:t>
      </w:r>
    </w:p>
    <w:p>
      <w:pPr>
        <w:widowControl/>
        <w:spacing w:before="75" w:after="75" w:line="360" w:lineRule="auto"/>
        <w:jc w:val="left"/>
        <w:rPr>
          <w:rFonts w:asciiTheme="minorEastAsia" w:hAnsiTheme="minorEastAsia" w:cstheme="minorEastAsia"/>
          <w:sz w:val="24"/>
          <w:szCs w:val="24"/>
          <w:highlight w:val="none"/>
        </w:rPr>
      </w:pPr>
      <w:r>
        <w:rPr>
          <w:rFonts w:hint="eastAsia" w:asciiTheme="minorEastAsia" w:hAnsiTheme="minorEastAsia" w:cstheme="minorEastAsia"/>
          <w:b/>
          <w:bCs/>
          <w:sz w:val="24"/>
          <w:szCs w:val="24"/>
          <w:highlight w:val="none"/>
        </w:rPr>
        <w:t>11、其他相关要求：</w:t>
      </w:r>
    </w:p>
    <w:p>
      <w:pPr>
        <w:widowControl/>
        <w:spacing w:before="75" w:after="75"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11.1、各供应商应根据竞争性谈判文件的技术要求条款，在响应文件中详细说明所提供货物的技术规格和参数。</w:t>
      </w:r>
    </w:p>
    <w:p>
      <w:pPr>
        <w:widowControl/>
        <w:spacing w:before="75" w:after="75"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11.2、上述招标规格及要求中所发生的一切费用均包含在投标报价中。各供应商无论中标与否，所有围绕投标的费用均由投标单位自行承担。</w:t>
      </w:r>
    </w:p>
    <w:p>
      <w:pPr>
        <w:widowControl/>
        <w:spacing w:before="75" w:after="75" w:line="360" w:lineRule="auto"/>
        <w:jc w:val="left"/>
        <w:outlineLvl w:val="1"/>
        <w:rPr>
          <w:rFonts w:ascii="宋体" w:hAnsi="宋体" w:eastAsia="宋体" w:cs="宋体"/>
          <w:b/>
          <w:bCs/>
          <w:kern w:val="0"/>
          <w:sz w:val="24"/>
          <w:szCs w:val="24"/>
          <w:highlight w:val="none"/>
        </w:rPr>
      </w:pPr>
      <w:r>
        <w:rPr>
          <w:rFonts w:ascii="宋体" w:hAnsi="宋体" w:eastAsia="宋体" w:cs="宋体"/>
          <w:b/>
          <w:bCs/>
          <w:kern w:val="0"/>
          <w:sz w:val="24"/>
          <w:szCs w:val="24"/>
          <w:highlight w:val="none"/>
        </w:rPr>
        <w:t>四、其他事项</w:t>
      </w:r>
    </w:p>
    <w:p>
      <w:pPr>
        <w:pStyle w:val="8"/>
        <w:widowControl/>
        <w:spacing w:before="75" w:beforeAutospacing="0" w:after="75" w:afterAutospacing="0" w:line="360" w:lineRule="auto"/>
        <w:rPr>
          <w:highlight w:val="none"/>
        </w:rPr>
      </w:pPr>
      <w:r>
        <w:rPr>
          <w:rFonts w:hint="eastAsia" w:ascii="宋体" w:hAnsi="宋体" w:eastAsia="宋体" w:cs="宋体"/>
          <w:szCs w:val="24"/>
          <w:highlight w:val="none"/>
        </w:rPr>
        <w:t>1、除谈判文件另有规定外，若出现有关法律、法规和规章有强制性规定但谈判文件未列明的情形，则供应商应按照有关法律、法规和规章强制性规定执行。</w:t>
      </w:r>
    </w:p>
    <w:p>
      <w:pPr>
        <w:spacing w:line="360" w:lineRule="auto"/>
        <w:rPr>
          <w:rFonts w:ascii="宋体" w:hAnsi="宋体" w:eastAsia="宋体" w:cs="宋体"/>
          <w:b/>
          <w:bCs/>
          <w:kern w:val="0"/>
          <w:sz w:val="30"/>
          <w:szCs w:val="30"/>
          <w:highlight w:val="none"/>
        </w:rPr>
      </w:pP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、无。</w:t>
      </w:r>
      <w:r>
        <w:rPr>
          <w:rFonts w:ascii="宋体" w:hAnsi="宋体" w:eastAsia="宋体" w:cs="宋体"/>
          <w:b/>
          <w:bCs/>
          <w:kern w:val="0"/>
          <w:sz w:val="30"/>
          <w:szCs w:val="30"/>
          <w:highlight w:val="none"/>
        </w:rPr>
        <w:br w:type="page"/>
      </w:r>
    </w:p>
    <w:p>
      <w:pPr>
        <w:widowControl/>
        <w:spacing w:before="75" w:after="75"/>
        <w:jc w:val="center"/>
        <w:outlineLvl w:val="0"/>
        <w:rPr>
          <w:rFonts w:ascii="宋体" w:hAnsi="宋体" w:eastAsia="宋体" w:cs="宋体"/>
          <w:kern w:val="0"/>
          <w:sz w:val="24"/>
          <w:szCs w:val="24"/>
          <w:highlight w:val="none"/>
        </w:rPr>
      </w:pPr>
      <w:r>
        <w:rPr>
          <w:rFonts w:ascii="宋体" w:hAnsi="宋体" w:eastAsia="宋体" w:cs="宋体"/>
          <w:b/>
          <w:bCs/>
          <w:kern w:val="0"/>
          <w:sz w:val="30"/>
          <w:szCs w:val="30"/>
          <w:highlight w:val="none"/>
        </w:rPr>
        <w:t>第四章  合同主要条款及格式</w:t>
      </w:r>
    </w:p>
    <w:p>
      <w:pPr>
        <w:widowControl/>
        <w:spacing w:before="75" w:after="75" w:line="435"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编制说明</w:t>
      </w:r>
    </w:p>
    <w:p>
      <w:pPr>
        <w:widowControl/>
        <w:spacing w:before="75" w:after="75"/>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1、签订合同应遵守《中华人民共和国政府采购法》、《中华人民共和国合同法》。</w:t>
      </w:r>
    </w:p>
    <w:p>
      <w:pPr>
        <w:widowControl/>
        <w:spacing w:before="75" w:after="75"/>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widowControl/>
        <w:spacing w:before="75" w:after="75"/>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3.本章节所附的合同主要条款及格式为参考文本，如果因为项目实际特点不能适用，则可由甲乙双方在合同签订阶段可通过友好协商进行约定。</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采购人：（采购人全称）</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成交供应商：（成交供应商全称）</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根据项目编号为       的（填写“项目名称”）项目（以下简称：“本项目”）的谈判结果，成交供应商为成交供应商。现经甲乙双方友好协商，就以下事项达成一致并签订本合同：</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1、下列合同文件是构成本合同不可分割的部分：</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1.1合同条款；</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1.2谈判文件、成交供应商的响应文件；</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1.3其他文件或材料：□无。□（根据实际情况填写需要增加的内容）。</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2、合同标的</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3、合同总金额</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3.1合同总金额为人民币大写：              元（￥              ）。</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4、合同标的交付时间、地点和条件</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4.1交付时间：                     ；</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4.2交付地点：                     ；</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4.3交付条件：                     。</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5、合同标的应符合谈判文件、成交供应商响应文件的规定或约定，具体如下：</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6、验收</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6.1验收应按照谈判文件、成交供应商响应文件的规定或约定进行，具体如下：</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6.2本项目是否邀请其他供应商参与验收：</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□不邀请。□邀请，具体如下：（按照谈判文件规定填写）。</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7、合同款项的支付应按照谈判文件的规定进行，具体如下：</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（根据实际情况填写，可以是表格或文字描述，包括一次性支付或分期支付等）。</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8、履约保证金</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□无。□有，具体如下：（按照谈判文件规定填写）。</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9、合同有效期</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10、违约责任</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11</w:t>
      </w:r>
      <w:r>
        <w:rPr>
          <w:rFonts w:ascii="宋体" w:hAnsi="宋体" w:eastAsia="宋体" w:cs="宋体"/>
          <w:kern w:val="0"/>
          <w:sz w:val="24"/>
          <w:szCs w:val="24"/>
          <w:highlight w:val="none"/>
        </w:rPr>
        <w:t>、知识产权</w:t>
      </w:r>
    </w:p>
    <w:p>
      <w:pPr>
        <w:widowControl/>
        <w:spacing w:before="75" w:after="75" w:line="43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10</w:t>
      </w:r>
      <w:r>
        <w:rPr>
          <w:rFonts w:ascii="宋体" w:hAnsi="宋体" w:eastAsia="宋体" w:cs="宋体"/>
          <w:kern w:val="0"/>
          <w:sz w:val="24"/>
          <w:szCs w:val="24"/>
          <w:highlight w:val="none"/>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widowControl/>
        <w:spacing w:before="75" w:after="75" w:line="43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10</w:t>
      </w:r>
      <w:r>
        <w:rPr>
          <w:rFonts w:ascii="宋体" w:hAnsi="宋体" w:eastAsia="宋体" w:cs="宋体"/>
          <w:kern w:val="0"/>
          <w:sz w:val="24"/>
          <w:szCs w:val="24"/>
          <w:highlight w:val="none"/>
        </w:rPr>
        <w:t>.2若成交供应商提供的采购标的不符合国家知识产权法律、法规的规定或被有关主管机关认定为假冒伪劣品，则成交供应商中标资格将被取消；采购人还将按照有关法律、法规和规章的规定进行处理，具体如下：（根据实际情况填写）。</w:t>
      </w:r>
    </w:p>
    <w:p>
      <w:pPr>
        <w:widowControl/>
        <w:spacing w:before="75" w:after="75" w:line="43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11</w:t>
      </w:r>
      <w:r>
        <w:rPr>
          <w:rFonts w:ascii="宋体" w:hAnsi="宋体" w:eastAsia="宋体" w:cs="宋体"/>
          <w:kern w:val="0"/>
          <w:sz w:val="24"/>
          <w:szCs w:val="24"/>
          <w:highlight w:val="none"/>
        </w:rPr>
        <w:t>、解决争议的方法</w:t>
      </w:r>
    </w:p>
    <w:p>
      <w:pPr>
        <w:widowControl/>
        <w:spacing w:before="75" w:after="75" w:line="43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11</w:t>
      </w:r>
      <w:r>
        <w:rPr>
          <w:rFonts w:ascii="宋体" w:hAnsi="宋体" w:eastAsia="宋体" w:cs="宋体"/>
          <w:kern w:val="0"/>
          <w:sz w:val="24"/>
          <w:szCs w:val="24"/>
          <w:highlight w:val="none"/>
        </w:rPr>
        <w:t>.1甲、乙双方协商解决。</w:t>
      </w:r>
    </w:p>
    <w:p>
      <w:pPr>
        <w:widowControl/>
        <w:spacing w:before="75" w:after="75" w:line="43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11</w:t>
      </w:r>
      <w:r>
        <w:rPr>
          <w:rFonts w:ascii="宋体" w:hAnsi="宋体" w:eastAsia="宋体" w:cs="宋体"/>
          <w:kern w:val="0"/>
          <w:sz w:val="24"/>
          <w:szCs w:val="24"/>
          <w:highlight w:val="none"/>
        </w:rPr>
        <w:t>.2若协商解决不成，则通过下列途径之一解决：</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□提交仲裁委员会仲裁，具体如下：（根据实际情况填写）。</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□向人民法院提起诉讼，具体如下：（根据实际情况填写）。</w:t>
      </w:r>
    </w:p>
    <w:p>
      <w:pPr>
        <w:widowControl/>
        <w:spacing w:before="75" w:after="75" w:line="43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12</w:t>
      </w:r>
      <w:r>
        <w:rPr>
          <w:rFonts w:ascii="宋体" w:hAnsi="宋体" w:eastAsia="宋体" w:cs="宋体"/>
          <w:kern w:val="0"/>
          <w:sz w:val="24"/>
          <w:szCs w:val="24"/>
          <w:highlight w:val="none"/>
        </w:rPr>
        <w:t>、不可抗力</w:t>
      </w:r>
    </w:p>
    <w:p>
      <w:pPr>
        <w:widowControl/>
        <w:spacing w:before="75" w:after="75" w:line="43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12</w:t>
      </w:r>
      <w:r>
        <w:rPr>
          <w:rFonts w:ascii="宋体" w:hAnsi="宋体" w:eastAsia="宋体" w:cs="宋体"/>
          <w:kern w:val="0"/>
          <w:sz w:val="24"/>
          <w:szCs w:val="24"/>
          <w:highlight w:val="none"/>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before="75" w:after="75" w:line="43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12</w:t>
      </w:r>
      <w:r>
        <w:rPr>
          <w:rFonts w:ascii="宋体" w:hAnsi="宋体" w:eastAsia="宋体" w:cs="宋体"/>
          <w:kern w:val="0"/>
          <w:sz w:val="24"/>
          <w:szCs w:val="24"/>
          <w:highlight w:val="none"/>
        </w:rPr>
        <w:t>.2本合同中的不可抗力指不能预见、不能避免、不能克服的客观情况，包括但不限于：自然灾害如地震、台风、洪水、火灾及政府行为、法律规定或其适用的变化或其他任何无法预见、避免或控制的事件。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75" w:after="75" w:line="43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13</w:t>
      </w:r>
      <w:r>
        <w:rPr>
          <w:rFonts w:ascii="宋体" w:hAnsi="宋体" w:eastAsia="宋体" w:cs="宋体"/>
          <w:kern w:val="0"/>
          <w:sz w:val="24"/>
          <w:szCs w:val="24"/>
          <w:highlight w:val="none"/>
        </w:rPr>
        <w:t>、合同条款</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（根据实际情况填写）。</w:t>
      </w:r>
    </w:p>
    <w:p>
      <w:pPr>
        <w:widowControl/>
        <w:spacing w:before="75" w:after="75" w:line="435"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14</w:t>
      </w:r>
      <w:r>
        <w:rPr>
          <w:rFonts w:ascii="宋体" w:hAnsi="宋体" w:eastAsia="宋体" w:cs="宋体"/>
          <w:i/>
          <w:kern w:val="0"/>
          <w:sz w:val="24"/>
          <w:szCs w:val="24"/>
          <w:highlight w:val="none"/>
        </w:rPr>
        <w:t>、</w:t>
      </w:r>
      <w:r>
        <w:rPr>
          <w:rFonts w:ascii="宋体" w:hAnsi="宋体" w:eastAsia="宋体" w:cs="宋体"/>
          <w:kern w:val="0"/>
          <w:sz w:val="24"/>
          <w:szCs w:val="24"/>
          <w:highlight w:val="none"/>
        </w:rPr>
        <w:t>其他约定</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15.1合同文件与本合同具有同等法律效力。</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15.2本合同未尽事宜，双方可另行补充。</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15.3本合同自签订之日起生效。</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15.4本合同一式（填写具体份数）份，经双方授权代表签字并盖章后生效。采购人、成交供应商各执（填写具体份数）份，送（填写需要备案的监管部门的全称）备案（填写具体份数）份，具有同等效力。</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15.5其他：□无。□（根据实际情况填写需要增加的内容）。</w:t>
      </w:r>
    </w:p>
    <w:p>
      <w:pPr>
        <w:widowControl/>
        <w:spacing w:before="75" w:after="75" w:line="435"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（以下无正文）</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pStyle w:val="8"/>
        <w:widowControl/>
        <w:spacing w:before="75" w:beforeAutospacing="0" w:after="240" w:afterAutospacing="0" w:line="435" w:lineRule="atLeast"/>
        <w:rPr>
          <w:rFonts w:ascii="宋体" w:cs="宋体"/>
          <w:highlight w:val="none"/>
        </w:rPr>
      </w:pPr>
      <w:r>
        <w:rPr>
          <w:rFonts w:hint="eastAsia" w:ascii="宋体" w:hAnsi="宋体" w:cs="宋体"/>
          <w:highlight w:val="none"/>
        </w:rPr>
        <w:t>甲方：</w:t>
      </w:r>
      <w:r>
        <w:rPr>
          <w:rFonts w:ascii="宋体" w:hAnsi="宋体" w:cs="宋体"/>
          <w:highlight w:val="none"/>
        </w:rPr>
        <w:t xml:space="preserve">                 </w:t>
      </w:r>
      <w:r>
        <w:rPr>
          <w:rFonts w:hint="eastAsia" w:ascii="宋体" w:hAnsi="宋体" w:cs="宋体"/>
          <w:highlight w:val="none"/>
        </w:rPr>
        <w:t>乙方：</w:t>
      </w:r>
    </w:p>
    <w:p>
      <w:pPr>
        <w:pStyle w:val="8"/>
        <w:widowControl/>
        <w:spacing w:before="75" w:beforeAutospacing="0" w:after="240" w:afterAutospacing="0" w:line="435" w:lineRule="atLeast"/>
        <w:rPr>
          <w:rFonts w:ascii="宋体" w:cs="宋体"/>
          <w:highlight w:val="none"/>
        </w:rPr>
      </w:pPr>
      <w:r>
        <w:rPr>
          <w:rFonts w:hint="eastAsia" w:ascii="宋体" w:hAnsi="宋体" w:cs="宋体"/>
          <w:highlight w:val="none"/>
        </w:rPr>
        <w:t>住所：</w:t>
      </w:r>
      <w:r>
        <w:rPr>
          <w:rFonts w:ascii="宋体" w:hAnsi="宋体" w:cs="宋体"/>
          <w:highlight w:val="none"/>
        </w:rPr>
        <w:t xml:space="preserve">                 </w:t>
      </w:r>
      <w:r>
        <w:rPr>
          <w:rFonts w:hint="eastAsia" w:ascii="宋体" w:hAnsi="宋体" w:cs="宋体"/>
          <w:highlight w:val="none"/>
        </w:rPr>
        <w:t>住所：</w:t>
      </w:r>
    </w:p>
    <w:p>
      <w:pPr>
        <w:pStyle w:val="8"/>
        <w:widowControl/>
        <w:spacing w:before="75" w:beforeAutospacing="0" w:after="240" w:afterAutospacing="0" w:line="435" w:lineRule="atLeast"/>
        <w:rPr>
          <w:rFonts w:ascii="宋体" w:cs="宋体"/>
          <w:highlight w:val="none"/>
        </w:rPr>
      </w:pPr>
      <w:r>
        <w:rPr>
          <w:rFonts w:hint="eastAsia" w:ascii="宋体" w:hAnsi="宋体" w:cs="宋体"/>
          <w:highlight w:val="none"/>
        </w:rPr>
        <w:t>单位负责人：</w:t>
      </w:r>
      <w:r>
        <w:rPr>
          <w:rFonts w:ascii="宋体" w:hAnsi="宋体" w:cs="宋体"/>
          <w:highlight w:val="none"/>
        </w:rPr>
        <w:t xml:space="preserve">              </w:t>
      </w:r>
      <w:r>
        <w:rPr>
          <w:rFonts w:hint="eastAsia" w:ascii="宋体" w:hAnsi="宋体" w:cs="宋体"/>
          <w:highlight w:val="none"/>
        </w:rPr>
        <w:t>单位负责人：</w:t>
      </w:r>
    </w:p>
    <w:p>
      <w:pPr>
        <w:pStyle w:val="8"/>
        <w:widowControl/>
        <w:spacing w:before="75" w:beforeAutospacing="0" w:after="240" w:afterAutospacing="0" w:line="435" w:lineRule="atLeast"/>
        <w:rPr>
          <w:rFonts w:ascii="宋体" w:cs="宋体"/>
          <w:highlight w:val="none"/>
        </w:rPr>
      </w:pPr>
      <w:r>
        <w:rPr>
          <w:rFonts w:hint="eastAsia" w:ascii="宋体" w:hAnsi="宋体" w:cs="宋体"/>
          <w:highlight w:val="none"/>
        </w:rPr>
        <w:t>委托代理人：</w:t>
      </w:r>
      <w:r>
        <w:rPr>
          <w:rFonts w:ascii="宋体" w:hAnsi="宋体" w:cs="宋体"/>
          <w:highlight w:val="none"/>
        </w:rPr>
        <w:t xml:space="preserve">               </w:t>
      </w:r>
      <w:r>
        <w:rPr>
          <w:rFonts w:hint="eastAsia" w:ascii="宋体" w:hAnsi="宋体" w:cs="宋体"/>
          <w:highlight w:val="none"/>
        </w:rPr>
        <w:t>委托代理人：</w:t>
      </w:r>
    </w:p>
    <w:p>
      <w:pPr>
        <w:pStyle w:val="8"/>
        <w:widowControl/>
        <w:spacing w:before="75" w:beforeAutospacing="0" w:after="240" w:afterAutospacing="0" w:line="435" w:lineRule="atLeast"/>
        <w:rPr>
          <w:rFonts w:ascii="宋体" w:cs="宋体"/>
          <w:highlight w:val="none"/>
        </w:rPr>
      </w:pPr>
      <w:r>
        <w:rPr>
          <w:rFonts w:hint="eastAsia" w:ascii="宋体" w:hAnsi="宋体" w:cs="宋体"/>
          <w:highlight w:val="none"/>
        </w:rPr>
        <w:t>联系方法：</w:t>
      </w:r>
      <w:r>
        <w:rPr>
          <w:rFonts w:ascii="宋体" w:hAnsi="宋体" w:cs="宋体"/>
          <w:highlight w:val="none"/>
        </w:rPr>
        <w:t xml:space="preserve">                 </w:t>
      </w:r>
      <w:r>
        <w:rPr>
          <w:rFonts w:hint="eastAsia" w:ascii="宋体" w:hAnsi="宋体" w:cs="宋体"/>
          <w:highlight w:val="none"/>
        </w:rPr>
        <w:t>联系方法：</w:t>
      </w:r>
    </w:p>
    <w:p>
      <w:pPr>
        <w:pStyle w:val="8"/>
        <w:widowControl/>
        <w:spacing w:before="75" w:beforeAutospacing="0" w:after="240" w:afterAutospacing="0" w:line="435" w:lineRule="atLeast"/>
        <w:rPr>
          <w:rFonts w:ascii="宋体" w:cs="宋体"/>
          <w:highlight w:val="none"/>
        </w:rPr>
      </w:pPr>
      <w:r>
        <w:rPr>
          <w:rFonts w:hint="eastAsia" w:ascii="宋体" w:hAnsi="宋体" w:cs="宋体"/>
          <w:highlight w:val="none"/>
        </w:rPr>
        <w:t>开户银行：</w:t>
      </w:r>
      <w:r>
        <w:rPr>
          <w:rFonts w:ascii="宋体" w:hAnsi="宋体" w:cs="宋体"/>
          <w:highlight w:val="none"/>
        </w:rPr>
        <w:t xml:space="preserve">                </w:t>
      </w:r>
      <w:r>
        <w:rPr>
          <w:rFonts w:hint="eastAsia" w:ascii="宋体" w:hAnsi="宋体" w:cs="宋体"/>
          <w:highlight w:val="none"/>
        </w:rPr>
        <w:t>开户银行：</w:t>
      </w:r>
    </w:p>
    <w:p>
      <w:pPr>
        <w:pStyle w:val="8"/>
        <w:widowControl/>
        <w:spacing w:before="75" w:beforeAutospacing="0" w:after="240" w:afterAutospacing="0" w:line="435" w:lineRule="atLeast"/>
        <w:rPr>
          <w:rFonts w:ascii="宋体" w:hAnsi="宋体" w:eastAsia="宋体" w:cs="宋体"/>
          <w:szCs w:val="24"/>
          <w:highlight w:val="none"/>
        </w:rPr>
      </w:pPr>
      <w:r>
        <w:rPr>
          <w:rFonts w:hint="eastAsia" w:ascii="宋体" w:hAnsi="宋体" w:cs="宋体"/>
          <w:highlight w:val="none"/>
        </w:rPr>
        <w:t>账号：</w:t>
      </w:r>
      <w:r>
        <w:rPr>
          <w:rFonts w:ascii="宋体" w:hAnsi="宋体" w:cs="宋体"/>
          <w:highlight w:val="none"/>
        </w:rPr>
        <w:t xml:space="preserve">                  </w:t>
      </w:r>
      <w:r>
        <w:rPr>
          <w:rFonts w:hint="eastAsia" w:ascii="宋体" w:hAnsi="宋体" w:cs="宋体"/>
          <w:highlight w:val="none"/>
        </w:rPr>
        <w:t>账号：</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签订地点：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签订日期：    年   月   日</w:t>
      </w:r>
    </w:p>
    <w:p>
      <w:pPr>
        <w:widowControl/>
        <w:spacing w:before="75" w:after="240" w:line="435" w:lineRule="atLeast"/>
        <w:jc w:val="left"/>
        <w:rPr>
          <w:rFonts w:ascii="宋体" w:hAnsi="宋体" w:eastAsia="宋体" w:cs="宋体"/>
          <w:kern w:val="0"/>
          <w:sz w:val="24"/>
          <w:szCs w:val="24"/>
          <w:highlight w:val="none"/>
        </w:rPr>
      </w:pPr>
    </w:p>
    <w:p>
      <w:pPr>
        <w:widowControl/>
        <w:spacing w:before="75" w:after="75" w:line="435" w:lineRule="atLeast"/>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rPr>
          <w:rFonts w:ascii="宋体" w:hAnsi="宋体" w:eastAsia="宋体" w:cs="宋体"/>
          <w:b/>
          <w:bCs/>
          <w:kern w:val="0"/>
          <w:sz w:val="24"/>
          <w:szCs w:val="24"/>
          <w:highlight w:val="none"/>
        </w:rPr>
      </w:pPr>
      <w:r>
        <w:rPr>
          <w:rFonts w:ascii="宋体" w:hAnsi="宋体" w:eastAsia="宋体" w:cs="宋体"/>
          <w:b/>
          <w:bCs/>
          <w:kern w:val="0"/>
          <w:sz w:val="24"/>
          <w:szCs w:val="24"/>
          <w:highlight w:val="none"/>
        </w:rPr>
        <w:br w:type="page"/>
      </w:r>
    </w:p>
    <w:p>
      <w:pPr>
        <w:widowControl/>
        <w:spacing w:before="75" w:after="75" w:line="435" w:lineRule="atLeast"/>
        <w:jc w:val="center"/>
        <w:outlineLvl w:val="0"/>
        <w:rPr>
          <w:rFonts w:ascii="宋体" w:hAnsi="宋体" w:eastAsia="宋体" w:cs="宋体"/>
          <w:kern w:val="0"/>
          <w:sz w:val="24"/>
          <w:szCs w:val="24"/>
          <w:highlight w:val="none"/>
        </w:rPr>
      </w:pPr>
      <w:r>
        <w:rPr>
          <w:rFonts w:ascii="宋体" w:hAnsi="宋体" w:eastAsia="宋体" w:cs="宋体"/>
          <w:b/>
          <w:bCs/>
          <w:kern w:val="0"/>
          <w:sz w:val="24"/>
          <w:szCs w:val="24"/>
          <w:highlight w:val="none"/>
        </w:rPr>
        <w:t>第五章  首次响应文件格式</w:t>
      </w:r>
    </w:p>
    <w:p>
      <w:pPr>
        <w:widowControl/>
        <w:spacing w:before="75" w:after="75"/>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line="435" w:lineRule="atLeast"/>
        <w:jc w:val="center"/>
        <w:outlineLvl w:val="1"/>
        <w:rPr>
          <w:rFonts w:ascii="宋体" w:hAnsi="宋体" w:eastAsia="宋体" w:cs="宋体"/>
          <w:kern w:val="0"/>
          <w:sz w:val="24"/>
          <w:szCs w:val="24"/>
          <w:highlight w:val="none"/>
        </w:rPr>
      </w:pPr>
      <w:r>
        <w:rPr>
          <w:rFonts w:ascii="宋体" w:hAnsi="宋体" w:eastAsia="宋体" w:cs="宋体"/>
          <w:b/>
          <w:bCs/>
          <w:kern w:val="0"/>
          <w:sz w:val="24"/>
          <w:szCs w:val="24"/>
          <w:highlight w:val="none"/>
        </w:rPr>
        <w:t>编制说明</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jc w:val="center"/>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9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9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95" w:lineRule="atLeast"/>
        <w:jc w:val="left"/>
        <w:rPr>
          <w:rFonts w:ascii="宋体" w:hAnsi="宋体" w:eastAsia="宋体" w:cs="宋体"/>
          <w:kern w:val="0"/>
          <w:sz w:val="24"/>
          <w:szCs w:val="24"/>
          <w:highlight w:val="none"/>
        </w:rPr>
      </w:pPr>
    </w:p>
    <w:p>
      <w:pPr>
        <w:widowControl/>
        <w:spacing w:before="75" w:after="75" w:line="495" w:lineRule="atLeast"/>
        <w:jc w:val="left"/>
        <w:rPr>
          <w:rFonts w:ascii="宋体" w:hAnsi="宋体" w:eastAsia="宋体" w:cs="宋体"/>
          <w:kern w:val="0"/>
          <w:sz w:val="24"/>
          <w:szCs w:val="24"/>
          <w:highlight w:val="none"/>
        </w:rPr>
      </w:pPr>
    </w:p>
    <w:p>
      <w:pPr>
        <w:widowControl/>
        <w:spacing w:before="75" w:after="75" w:line="495" w:lineRule="atLeast"/>
        <w:jc w:val="left"/>
        <w:rPr>
          <w:rFonts w:ascii="宋体" w:hAnsi="宋体" w:eastAsia="宋体" w:cs="宋体"/>
          <w:kern w:val="0"/>
          <w:sz w:val="24"/>
          <w:szCs w:val="24"/>
          <w:highlight w:val="none"/>
        </w:rPr>
      </w:pPr>
    </w:p>
    <w:p>
      <w:pPr>
        <w:widowControl/>
        <w:spacing w:before="75" w:after="75" w:line="495" w:lineRule="atLeast"/>
        <w:jc w:val="left"/>
        <w:rPr>
          <w:rFonts w:ascii="宋体" w:hAnsi="宋体" w:eastAsia="宋体" w:cs="宋体"/>
          <w:kern w:val="0"/>
          <w:sz w:val="24"/>
          <w:szCs w:val="24"/>
          <w:highlight w:val="none"/>
        </w:rPr>
      </w:pPr>
    </w:p>
    <w:p>
      <w:pPr>
        <w:widowControl/>
        <w:spacing w:before="75" w:after="75" w:line="495" w:lineRule="atLeast"/>
        <w:jc w:val="left"/>
        <w:rPr>
          <w:rFonts w:ascii="宋体" w:hAnsi="宋体" w:eastAsia="宋体" w:cs="宋体"/>
          <w:kern w:val="0"/>
          <w:sz w:val="24"/>
          <w:szCs w:val="24"/>
          <w:highlight w:val="none"/>
        </w:rPr>
      </w:pPr>
    </w:p>
    <w:p>
      <w:pPr>
        <w:widowControl/>
        <w:spacing w:before="75" w:after="75" w:line="495" w:lineRule="atLeast"/>
        <w:jc w:val="left"/>
        <w:rPr>
          <w:rFonts w:ascii="宋体" w:hAnsi="宋体" w:eastAsia="宋体" w:cs="宋体"/>
          <w:kern w:val="0"/>
          <w:sz w:val="24"/>
          <w:szCs w:val="24"/>
          <w:highlight w:val="none"/>
        </w:rPr>
      </w:pPr>
    </w:p>
    <w:p>
      <w:pPr>
        <w:widowControl/>
        <w:spacing w:before="75" w:after="75" w:line="495" w:lineRule="atLeast"/>
        <w:jc w:val="left"/>
        <w:rPr>
          <w:rFonts w:ascii="宋体" w:hAnsi="宋体" w:eastAsia="宋体" w:cs="宋体"/>
          <w:kern w:val="0"/>
          <w:sz w:val="24"/>
          <w:szCs w:val="24"/>
          <w:highlight w:val="none"/>
        </w:rPr>
      </w:pPr>
    </w:p>
    <w:p>
      <w:pPr>
        <w:widowControl/>
        <w:spacing w:before="75" w:after="75" w:line="495" w:lineRule="atLeast"/>
        <w:jc w:val="left"/>
        <w:rPr>
          <w:rFonts w:ascii="宋体" w:hAnsi="宋体" w:eastAsia="宋体" w:cs="宋体"/>
          <w:kern w:val="0"/>
          <w:sz w:val="24"/>
          <w:szCs w:val="24"/>
          <w:highlight w:val="none"/>
        </w:rPr>
      </w:pPr>
    </w:p>
    <w:p>
      <w:pPr>
        <w:widowControl/>
        <w:spacing w:before="75" w:after="75" w:line="495" w:lineRule="atLeast"/>
        <w:jc w:val="left"/>
        <w:rPr>
          <w:rFonts w:ascii="宋体" w:hAnsi="宋体" w:eastAsia="宋体" w:cs="宋体"/>
          <w:kern w:val="0"/>
          <w:sz w:val="24"/>
          <w:szCs w:val="24"/>
          <w:highlight w:val="none"/>
        </w:rPr>
      </w:pPr>
    </w:p>
    <w:p>
      <w:pPr>
        <w:widowControl/>
        <w:spacing w:before="75" w:after="75"/>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竞争性谈判</w:t>
      </w:r>
    </w:p>
    <w:p>
      <w:pPr>
        <w:widowControl/>
        <w:spacing w:before="75" w:after="75"/>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jc w:val="center"/>
        <w:outlineLvl w:val="1"/>
        <w:rPr>
          <w:rFonts w:ascii="宋体" w:hAnsi="宋体" w:eastAsia="宋体" w:cs="宋体"/>
          <w:kern w:val="0"/>
          <w:sz w:val="24"/>
          <w:szCs w:val="24"/>
          <w:highlight w:val="none"/>
        </w:rPr>
      </w:pPr>
      <w:r>
        <w:rPr>
          <w:rFonts w:ascii="宋体" w:hAnsi="宋体" w:eastAsia="宋体" w:cs="宋体"/>
          <w:b/>
          <w:bCs/>
          <w:kern w:val="0"/>
          <w:sz w:val="24"/>
          <w:szCs w:val="24"/>
          <w:highlight w:val="none"/>
        </w:rPr>
        <w:t>响应文件</w:t>
      </w:r>
    </w:p>
    <w:p>
      <w:pPr>
        <w:widowControl/>
        <w:spacing w:before="75" w:after="75"/>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（首次）</w:t>
      </w:r>
    </w:p>
    <w:p>
      <w:pPr>
        <w:widowControl/>
        <w:spacing w:before="75" w:after="75"/>
        <w:jc w:val="center"/>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ind w:firstLine="126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项目名称：               </w:t>
      </w:r>
    </w:p>
    <w:p>
      <w:pPr>
        <w:widowControl/>
        <w:spacing w:before="75" w:after="75"/>
        <w:ind w:firstLine="126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项目编号：               </w:t>
      </w:r>
    </w:p>
    <w:p>
      <w:pPr>
        <w:widowControl/>
        <w:spacing w:before="75" w:after="75"/>
        <w:ind w:firstLine="126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合同包:                  </w:t>
      </w:r>
    </w:p>
    <w:p>
      <w:pPr>
        <w:widowControl/>
        <w:spacing w:before="75" w:after="75"/>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供应商名称 ：               </w:t>
      </w:r>
    </w:p>
    <w:p>
      <w:pPr>
        <w:widowControl/>
        <w:spacing w:before="75" w:after="75"/>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日    期 ：               </w:t>
      </w:r>
    </w:p>
    <w:p>
      <w:pPr>
        <w:widowControl/>
        <w:spacing w:before="75" w:after="75"/>
        <w:jc w:val="center"/>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center"/>
        <w:rPr>
          <w:rFonts w:ascii="宋体" w:hAnsi="宋体" w:eastAsia="宋体" w:cs="宋体"/>
          <w:b/>
          <w:bCs/>
          <w:kern w:val="0"/>
          <w:sz w:val="24"/>
          <w:szCs w:val="24"/>
          <w:highlight w:val="none"/>
        </w:rPr>
      </w:pPr>
      <w:r>
        <w:rPr>
          <w:rFonts w:ascii="宋体" w:hAnsi="宋体" w:eastAsia="宋体" w:cs="宋体"/>
          <w:b/>
          <w:bCs/>
          <w:kern w:val="0"/>
          <w:sz w:val="24"/>
          <w:szCs w:val="24"/>
          <w:highlight w:val="none"/>
        </w:rPr>
        <w:br w:type="textWrapping"/>
      </w: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widowControl/>
        <w:spacing w:before="75" w:after="75"/>
        <w:jc w:val="center"/>
        <w:rPr>
          <w:rFonts w:ascii="宋体" w:hAnsi="宋体" w:eastAsia="宋体" w:cs="宋体"/>
          <w:b/>
          <w:bCs/>
          <w:kern w:val="0"/>
          <w:sz w:val="24"/>
          <w:szCs w:val="24"/>
          <w:highlight w:val="none"/>
        </w:rPr>
      </w:pPr>
    </w:p>
    <w:p>
      <w:pPr>
        <w:rPr>
          <w:rFonts w:ascii="宋体" w:hAnsi="宋体" w:eastAsia="宋体" w:cs="宋体"/>
          <w:b/>
          <w:bCs/>
          <w:kern w:val="0"/>
          <w:sz w:val="24"/>
          <w:szCs w:val="24"/>
          <w:highlight w:val="none"/>
        </w:rPr>
      </w:pPr>
      <w:r>
        <w:rPr>
          <w:rFonts w:ascii="宋体" w:hAnsi="宋体" w:eastAsia="宋体" w:cs="宋体"/>
          <w:b/>
          <w:bCs/>
          <w:kern w:val="0"/>
          <w:sz w:val="24"/>
          <w:szCs w:val="24"/>
          <w:highlight w:val="none"/>
        </w:rPr>
        <w:br w:type="page"/>
      </w:r>
    </w:p>
    <w:p>
      <w:pPr>
        <w:widowControl/>
        <w:spacing w:before="75" w:after="75"/>
        <w:jc w:val="center"/>
        <w:outlineLvl w:val="1"/>
        <w:rPr>
          <w:rFonts w:ascii="宋体" w:hAnsi="宋体" w:eastAsia="宋体" w:cs="宋体"/>
          <w:kern w:val="0"/>
          <w:sz w:val="24"/>
          <w:szCs w:val="24"/>
          <w:highlight w:val="none"/>
        </w:rPr>
      </w:pPr>
      <w:r>
        <w:rPr>
          <w:rFonts w:ascii="宋体" w:hAnsi="宋体" w:eastAsia="宋体" w:cs="宋体"/>
          <w:b/>
          <w:bCs/>
          <w:kern w:val="0"/>
          <w:sz w:val="24"/>
          <w:szCs w:val="24"/>
          <w:highlight w:val="none"/>
        </w:rPr>
        <w:t>目  录</w:t>
      </w:r>
    </w:p>
    <w:p>
      <w:pPr>
        <w:widowControl/>
        <w:spacing w:before="75" w:after="75" w:line="46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line="46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附件1：谈判响应声明</w:t>
      </w:r>
    </w:p>
    <w:p>
      <w:pPr>
        <w:widowControl/>
        <w:spacing w:before="75" w:after="75" w:line="46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附件2：报价一览表（含详细报价书）</w:t>
      </w:r>
    </w:p>
    <w:p>
      <w:pPr>
        <w:widowControl/>
        <w:spacing w:before="75" w:after="75" w:line="46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附件3：资格证明文件</w:t>
      </w:r>
    </w:p>
    <w:p>
      <w:pPr>
        <w:widowControl/>
        <w:spacing w:before="75" w:after="75" w:line="46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附件4：谈判保证金凭证</w:t>
      </w:r>
    </w:p>
    <w:p>
      <w:pPr>
        <w:widowControl/>
        <w:spacing w:before="75" w:after="75" w:line="46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附件5：技术、服务和商务响应表</w:t>
      </w:r>
    </w:p>
    <w:p>
      <w:pPr>
        <w:widowControl/>
        <w:spacing w:before="75" w:after="75" w:line="46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附件6：相关技术、商务、服务响应承诺及资料</w:t>
      </w:r>
    </w:p>
    <w:p>
      <w:pPr>
        <w:widowControl/>
        <w:spacing w:before="75" w:after="75" w:line="46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附件7：供应商提交符合政府采购政策的证明材料</w:t>
      </w:r>
    </w:p>
    <w:p>
      <w:pPr>
        <w:widowControl/>
        <w:spacing w:before="75" w:after="75" w:line="46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附件8：要求作为响应文件组成部分的其他内容（若有）</w:t>
      </w:r>
    </w:p>
    <w:p>
      <w:pPr>
        <w:widowControl/>
        <w:spacing w:before="75" w:after="75" w:line="46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b/>
          <w:bCs/>
          <w:kern w:val="0"/>
          <w:sz w:val="24"/>
          <w:szCs w:val="24"/>
          <w:highlight w:val="none"/>
        </w:rPr>
      </w:pPr>
      <w:r>
        <w:rPr>
          <w:rFonts w:ascii="宋体" w:hAnsi="宋体" w:eastAsia="宋体" w:cs="宋体"/>
          <w:b/>
          <w:bCs/>
          <w:kern w:val="0"/>
          <w:sz w:val="24"/>
          <w:szCs w:val="24"/>
          <w:highlight w:val="none"/>
        </w:rPr>
        <w:br w:type="textWrapping"/>
      </w:r>
    </w:p>
    <w:p>
      <w:pPr>
        <w:rPr>
          <w:rFonts w:ascii="宋体" w:hAnsi="宋体" w:eastAsia="宋体" w:cs="宋体"/>
          <w:b/>
          <w:bCs/>
          <w:kern w:val="0"/>
          <w:sz w:val="24"/>
          <w:szCs w:val="24"/>
          <w:highlight w:val="none"/>
        </w:rPr>
      </w:pPr>
      <w:r>
        <w:rPr>
          <w:rFonts w:ascii="宋体" w:hAnsi="宋体" w:eastAsia="宋体" w:cs="宋体"/>
          <w:b/>
          <w:bCs/>
          <w:kern w:val="0"/>
          <w:sz w:val="24"/>
          <w:szCs w:val="24"/>
          <w:highlight w:val="none"/>
        </w:rPr>
        <w:br w:type="page"/>
      </w:r>
    </w:p>
    <w:p>
      <w:pPr>
        <w:widowControl/>
        <w:spacing w:before="75" w:after="75"/>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附件1            </w:t>
      </w:r>
      <w:r>
        <w:rPr>
          <w:rFonts w:ascii="宋体" w:hAnsi="宋体" w:eastAsia="宋体" w:cs="宋体"/>
          <w:b/>
          <w:bCs/>
          <w:kern w:val="0"/>
          <w:sz w:val="24"/>
          <w:szCs w:val="24"/>
          <w:highlight w:val="none"/>
        </w:rPr>
        <w:t>谈判响应声明</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致：(采购人或采购代理机构)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（1）谈判响应声明</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（2）报价一览表（含详细报价书）</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（3）资格证明文件</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（4）谈判保证金凭证</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（5）技术、服务和商务响应表</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（6）相关技术、商务、服务响应承诺及资料</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（7）供应商提交符合政府采购政策的证明材料</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（8）按照谈判文件规定，要求作为响应文件组成部分的其他内容（若有）</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2.据此函，我方宣布响应承诺如下：</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2.4我方已经按照谈判文件要求提交谈判保证金。我方如果发生任何竞争性谈判文件中所述不予退还谈判保证金的情况，则我方的谈判保证金将被贵方不予退还，我方对此无异议。</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2.5我方愿意向贵方提供任何与本项目谈判采购有关的数据或资料。若贵方需要，我方愿意提供我方作出的一切承诺的证明材料。</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before="75" w:after="75" w:line="435" w:lineRule="atLeast"/>
        <w:ind w:firstLine="720"/>
        <w:jc w:val="left"/>
        <w:rPr>
          <w:rFonts w:ascii="宋体" w:hAnsi="宋体" w:eastAsia="宋体" w:cs="宋体"/>
          <w:kern w:val="0"/>
          <w:sz w:val="24"/>
          <w:szCs w:val="24"/>
          <w:highlight w:val="none"/>
        </w:rPr>
      </w:pPr>
      <w:r>
        <w:rPr>
          <w:rFonts w:ascii="宋体" w:hAnsi="宋体" w:eastAsia="宋体" w:cs="宋体"/>
          <w:kern w:val="0"/>
          <w:sz w:val="24"/>
          <w:szCs w:val="24"/>
          <w:highlight w:val="none"/>
        </w:rPr>
        <w:t>通信地址：                                         .</w:t>
      </w:r>
    </w:p>
    <w:p>
      <w:pPr>
        <w:widowControl/>
        <w:spacing w:before="75" w:after="75" w:line="435" w:lineRule="atLeast"/>
        <w:ind w:firstLine="720"/>
        <w:jc w:val="left"/>
        <w:rPr>
          <w:rFonts w:ascii="宋体" w:hAnsi="宋体" w:eastAsia="宋体" w:cs="宋体"/>
          <w:kern w:val="0"/>
          <w:sz w:val="24"/>
          <w:szCs w:val="24"/>
          <w:highlight w:val="none"/>
        </w:rPr>
      </w:pPr>
      <w:r>
        <w:rPr>
          <w:rFonts w:ascii="宋体" w:hAnsi="宋体" w:eastAsia="宋体" w:cs="宋体"/>
          <w:kern w:val="0"/>
          <w:sz w:val="24"/>
          <w:szCs w:val="24"/>
          <w:highlight w:val="none"/>
        </w:rPr>
        <w:t>邮编：               传真号：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联系电话（固定电话和移动电话）：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供应商代表：     （签字） </w:t>
      </w:r>
    </w:p>
    <w:p>
      <w:pPr>
        <w:widowControl/>
        <w:spacing w:before="75" w:after="75" w:line="435" w:lineRule="atLeast"/>
        <w:ind w:firstLine="720"/>
        <w:jc w:val="left"/>
        <w:rPr>
          <w:rFonts w:ascii="宋体" w:hAnsi="宋体" w:eastAsia="宋体" w:cs="宋体"/>
          <w:kern w:val="0"/>
          <w:sz w:val="24"/>
          <w:szCs w:val="24"/>
          <w:highlight w:val="none"/>
        </w:rPr>
      </w:pPr>
      <w:r>
        <w:rPr>
          <w:rFonts w:ascii="宋体" w:hAnsi="宋体" w:eastAsia="宋体" w:cs="宋体"/>
          <w:kern w:val="0"/>
          <w:sz w:val="24"/>
          <w:szCs w:val="24"/>
          <w:highlight w:val="none"/>
        </w:rPr>
        <w:t>供应商代表电子信箱：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供应商：         （全称并加盖公章）              .</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  日  期：     年    月    日</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outlineLvl w:val="1"/>
        <w:rPr>
          <w:rFonts w:ascii="宋体" w:hAnsi="宋体" w:eastAsia="宋体" w:cs="宋体"/>
          <w:kern w:val="0"/>
          <w:sz w:val="24"/>
          <w:szCs w:val="24"/>
          <w:highlight w:val="none"/>
        </w:rPr>
      </w:pPr>
      <w:r>
        <w:rPr>
          <w:rFonts w:ascii="宋体" w:hAnsi="宋体" w:eastAsia="宋体" w:cs="宋体"/>
          <w:b/>
          <w:bCs/>
          <w:kern w:val="0"/>
          <w:sz w:val="24"/>
          <w:szCs w:val="24"/>
          <w:highlight w:val="none"/>
        </w:rPr>
        <w:br w:type="textWrapping"/>
      </w:r>
      <w:r>
        <w:rPr>
          <w:rFonts w:ascii="宋体" w:hAnsi="宋体" w:eastAsia="宋体" w:cs="宋体"/>
          <w:kern w:val="0"/>
          <w:sz w:val="24"/>
          <w:szCs w:val="24"/>
          <w:highlight w:val="none"/>
        </w:rPr>
        <w:t>附件2</w:t>
      </w:r>
      <w:r>
        <w:rPr>
          <w:rFonts w:ascii="宋体" w:hAnsi="宋体" w:eastAsia="宋体" w:cs="宋体"/>
          <w:kern w:val="0"/>
          <w:sz w:val="29"/>
          <w:szCs w:val="29"/>
          <w:highlight w:val="none"/>
        </w:rPr>
        <w:t>    </w:t>
      </w:r>
      <w:r>
        <w:rPr>
          <w:rFonts w:ascii="宋体" w:hAnsi="宋体" w:eastAsia="宋体" w:cs="宋体"/>
          <w:b/>
          <w:bCs/>
          <w:kern w:val="0"/>
          <w:sz w:val="36"/>
          <w:highlight w:val="none"/>
        </w:rPr>
        <w:t>报价一览表</w:t>
      </w:r>
    </w:p>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供应商名称：（全称加盖单位公章）项目编号</w:t>
      </w:r>
      <w:r>
        <w:rPr>
          <w:rFonts w:hint="eastAsia" w:ascii="宋体" w:hAnsi="宋体" w:eastAsia="宋体" w:cs="宋体"/>
          <w:kern w:val="0"/>
          <w:sz w:val="24"/>
          <w:szCs w:val="24"/>
          <w:highlight w:val="none"/>
        </w:rPr>
        <w:t>∶</w:t>
      </w:r>
      <w:r>
        <w:rPr>
          <w:rFonts w:ascii="Times New Roman" w:hAnsi="Times New Roman" w:eastAsia="宋体" w:cs="Times New Roman"/>
          <w:kern w:val="0"/>
          <w:sz w:val="24"/>
          <w:szCs w:val="24"/>
          <w:highlight w:val="none"/>
        </w:rPr>
        <w:t>          </w:t>
      </w:r>
      <w:r>
        <w:rPr>
          <w:rFonts w:ascii="宋体" w:hAnsi="宋体" w:eastAsia="宋体" w:cs="宋体"/>
          <w:kern w:val="0"/>
          <w:sz w:val="24"/>
          <w:szCs w:val="24"/>
          <w:highlight w:val="none"/>
        </w:rPr>
        <w:t>货币单位：元人民币</w:t>
      </w:r>
    </w:p>
    <w:tbl>
      <w:tblPr>
        <w:tblStyle w:val="10"/>
        <w:tblW w:w="877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合同包</w:t>
            </w:r>
          </w:p>
        </w:tc>
        <w:tc>
          <w:tcPr>
            <w:tcW w:w="36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首次报价</w:t>
            </w:r>
          </w:p>
        </w:tc>
        <w:tc>
          <w:tcPr>
            <w:tcW w:w="17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交货期/工期/项目完成时间/服务时间</w:t>
            </w:r>
          </w:p>
        </w:tc>
        <w:tc>
          <w:tcPr>
            <w:tcW w:w="9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谈判保证金</w:t>
            </w:r>
          </w:p>
        </w:tc>
        <w:tc>
          <w:tcPr>
            <w:tcW w:w="115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highlight w:val="none"/>
              </w:rPr>
            </w:pPr>
            <w:r>
              <w:rPr>
                <w:rFonts w:ascii="Calibri" w:hAnsi="Calibri" w:eastAsia="宋体" w:cs="宋体"/>
                <w:kern w:val="0"/>
                <w:szCs w:val="21"/>
                <w:highlight w:val="none"/>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highlight w:val="none"/>
              </w:rPr>
            </w:pPr>
            <w:r>
              <w:rPr>
                <w:rFonts w:ascii="Calibri" w:hAnsi="Calibri" w:eastAsia="宋体" w:cs="宋体"/>
                <w:kern w:val="0"/>
                <w:szCs w:val="21"/>
                <w:highlight w:val="none"/>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highlight w:val="none"/>
              </w:rPr>
            </w:pPr>
            <w:r>
              <w:rPr>
                <w:rFonts w:ascii="Calibri" w:hAnsi="Calibri" w:eastAsia="宋体" w:cs="宋体"/>
                <w:kern w:val="0"/>
                <w:szCs w:val="21"/>
                <w:highlight w:val="none"/>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highlight w:val="none"/>
              </w:rPr>
            </w:pPr>
            <w:r>
              <w:rPr>
                <w:rFonts w:ascii="Calibri" w:hAnsi="Calibri" w:eastAsia="宋体" w:cs="宋体"/>
                <w:kern w:val="0"/>
                <w:szCs w:val="21"/>
                <w:highlight w:val="none"/>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bl>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备注：详细报价书另纸详列，格式自拟。</w:t>
      </w:r>
    </w:p>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                                                                            </w:t>
      </w:r>
      <w:r>
        <w:rPr>
          <w:rFonts w:ascii="宋体" w:hAnsi="宋体" w:eastAsia="宋体" w:cs="宋体"/>
          <w:kern w:val="0"/>
          <w:sz w:val="24"/>
          <w:szCs w:val="24"/>
          <w:highlight w:val="none"/>
        </w:rPr>
        <w:t>         供应商代表：             （签字）   </w:t>
      </w:r>
    </w:p>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附件2-1       </w:t>
      </w:r>
      <w:r>
        <w:rPr>
          <w:rFonts w:ascii="宋体" w:hAnsi="宋体" w:eastAsia="宋体" w:cs="宋体"/>
          <w:kern w:val="0"/>
          <w:sz w:val="36"/>
          <w:szCs w:val="36"/>
          <w:highlight w:val="none"/>
        </w:rPr>
        <w:t> </w:t>
      </w:r>
      <w:r>
        <w:rPr>
          <w:rFonts w:ascii="宋体" w:hAnsi="宋体" w:eastAsia="宋体" w:cs="宋体"/>
          <w:b/>
          <w:bCs/>
          <w:kern w:val="0"/>
          <w:sz w:val="36"/>
          <w:highlight w:val="none"/>
        </w:rPr>
        <w:t>详细报价书</w:t>
      </w:r>
    </w:p>
    <w:p>
      <w:pPr>
        <w:widowControl/>
        <w:spacing w:before="75" w:after="75" w:line="49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line="49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说明：</w:t>
      </w:r>
    </w:p>
    <w:p>
      <w:pPr>
        <w:widowControl/>
        <w:spacing w:before="75" w:after="75" w:line="46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pacing w:before="75" w:after="75" w:line="49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pacing w:before="75" w:after="75" w:line="495" w:lineRule="atLeast"/>
        <w:ind w:firstLine="480"/>
        <w:rPr>
          <w:rFonts w:ascii="宋体" w:hAnsi="宋体" w:eastAsia="宋体" w:cs="宋体"/>
          <w:kern w:val="0"/>
          <w:sz w:val="24"/>
          <w:szCs w:val="24"/>
          <w:highlight w:val="none"/>
        </w:rPr>
      </w:pPr>
      <w:r>
        <w:rPr>
          <w:rFonts w:ascii="宋体" w:hAnsi="宋体" w:eastAsia="宋体" w:cs="宋体"/>
          <w:kern w:val="0"/>
          <w:sz w:val="24"/>
          <w:szCs w:val="24"/>
          <w:highlight w:val="none"/>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widowControl/>
        <w:spacing w:before="75" w:after="75" w:line="49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（全称并加盖公章）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附件3         </w:t>
      </w:r>
      <w:r>
        <w:rPr>
          <w:rFonts w:ascii="宋体" w:hAnsi="宋体" w:eastAsia="宋体" w:cs="宋体"/>
          <w:b/>
          <w:bCs/>
          <w:kern w:val="0"/>
          <w:sz w:val="24"/>
          <w:szCs w:val="24"/>
          <w:highlight w:val="none"/>
        </w:rPr>
        <w:t>资格证明文件</w:t>
      </w: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6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附件3-1       </w:t>
      </w:r>
      <w:r>
        <w:rPr>
          <w:rFonts w:ascii="宋体" w:hAnsi="宋体" w:eastAsia="宋体" w:cs="宋体"/>
          <w:b/>
          <w:bCs/>
          <w:kern w:val="0"/>
          <w:sz w:val="24"/>
          <w:szCs w:val="24"/>
          <w:highlight w:val="none"/>
        </w:rPr>
        <w:t>参加竞争性谈判的声明函</w:t>
      </w: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致：(采购人或采购代理机构</w:t>
      </w:r>
      <w:r>
        <w:rPr>
          <w:rFonts w:ascii="Calibri" w:hAnsi="Calibri" w:eastAsia="宋体" w:cs="宋体"/>
          <w:kern w:val="0"/>
          <w:sz w:val="24"/>
          <w:szCs w:val="24"/>
          <w:highlight w:val="none"/>
        </w:rPr>
        <w:t>)       </w:t>
      </w: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360" w:lineRule="atLeast"/>
        <w:ind w:left="540"/>
        <w:jc w:val="left"/>
        <w:rPr>
          <w:rFonts w:ascii="宋体" w:hAnsi="宋体" w:eastAsia="宋体" w:cs="宋体"/>
          <w:kern w:val="0"/>
          <w:sz w:val="24"/>
          <w:szCs w:val="24"/>
          <w:highlight w:val="none"/>
        </w:rPr>
      </w:pPr>
      <w:r>
        <w:rPr>
          <w:rFonts w:ascii="宋体" w:hAnsi="宋体" w:eastAsia="宋体" w:cs="宋体"/>
          <w:kern w:val="0"/>
          <w:sz w:val="24"/>
          <w:szCs w:val="24"/>
          <w:highlight w:val="none"/>
        </w:rPr>
        <w:t>2、供应商的基本概况：</w:t>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t>2.1供应商单位名称：                               </w:t>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t>2.2注册地址：                                     </w:t>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t>2.3单位负责人姓名：        性别：     年龄：     职务：      。</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备注：“单位负责人”指单位法定代表人（供应商为法人的）或法律、法规规定代表单位行使职权的主要负责人（供应商为其他组织的）。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（全称并加盖公章）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r>
        <w:rPr>
          <w:rFonts w:ascii="宋体" w:hAnsi="宋体" w:eastAsia="宋体" w:cs="宋体"/>
          <w:kern w:val="0"/>
          <w:sz w:val="24"/>
          <w:szCs w:val="24"/>
          <w:highlight w:val="none"/>
        </w:rPr>
        <w:br w:type="textWrapping"/>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line="435" w:lineRule="atLeast"/>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附件3-2        </w:t>
      </w:r>
      <w:r>
        <w:rPr>
          <w:rFonts w:ascii="宋体" w:hAnsi="宋体" w:eastAsia="宋体" w:cs="宋体"/>
          <w:b/>
          <w:bCs/>
          <w:kern w:val="0"/>
          <w:sz w:val="24"/>
          <w:szCs w:val="24"/>
          <w:highlight w:val="none"/>
        </w:rPr>
        <w:t>供应商的资格声明</w:t>
      </w:r>
      <w:r>
        <w:rPr>
          <w:rFonts w:ascii="宋体" w:hAnsi="宋体" w:eastAsia="宋体" w:cs="宋体"/>
          <w:kern w:val="0"/>
          <w:sz w:val="24"/>
          <w:szCs w:val="24"/>
          <w:highlight w:val="none"/>
        </w:rPr>
        <w:t> </w:t>
      </w:r>
    </w:p>
    <w:p>
      <w:pPr>
        <w:widowControl/>
        <w:spacing w:before="75" w:after="75" w:line="37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致：(采购人或采购代理机构)       </w:t>
      </w:r>
    </w:p>
    <w:p>
      <w:pPr>
        <w:widowControl/>
        <w:spacing w:before="75" w:after="75" w:line="375" w:lineRule="atLeast"/>
        <w:rPr>
          <w:rFonts w:ascii="宋体" w:hAnsi="宋体" w:eastAsia="宋体" w:cs="宋体"/>
          <w:kern w:val="0"/>
          <w:sz w:val="24"/>
          <w:szCs w:val="24"/>
          <w:highlight w:val="none"/>
        </w:rPr>
      </w:pPr>
      <w:r>
        <w:rPr>
          <w:rFonts w:ascii="宋体" w:hAnsi="宋体" w:eastAsia="宋体" w:cs="宋体"/>
          <w:b/>
          <w:bCs/>
          <w:kern w:val="0"/>
          <w:sz w:val="24"/>
          <w:szCs w:val="24"/>
          <w:highlight w:val="none"/>
        </w:rPr>
        <w:t>    1、</w:t>
      </w:r>
      <w:r>
        <w:rPr>
          <w:rFonts w:ascii="宋体" w:hAnsi="宋体" w:eastAsia="宋体" w:cs="宋体"/>
          <w:kern w:val="0"/>
          <w:sz w:val="24"/>
          <w:szCs w:val="24"/>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0"/>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highlight w:val="none"/>
              </w:rPr>
            </w:pPr>
            <w:r>
              <w:rPr>
                <w:rFonts w:ascii="宋体" w:hAnsi="宋体" w:eastAsia="宋体" w:cs="宋体"/>
                <w:b/>
                <w:bCs/>
                <w:kern w:val="0"/>
                <w:sz w:val="24"/>
                <w:szCs w:val="24"/>
                <w:highlight w:val="none"/>
              </w:rPr>
              <w:t>《中华人民共和国政府采购法》第二十二条对供应商的要求</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highlight w:val="none"/>
              </w:rPr>
            </w:pPr>
            <w:r>
              <w:rPr>
                <w:rFonts w:ascii="宋体" w:hAnsi="宋体" w:eastAsia="宋体" w:cs="宋体"/>
                <w:b/>
                <w:bCs/>
                <w:kern w:val="0"/>
                <w:sz w:val="24"/>
                <w:szCs w:val="24"/>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highlight w:val="none"/>
              </w:rPr>
            </w:pPr>
            <w:r>
              <w:rPr>
                <w:rFonts w:ascii="宋体" w:hAnsi="宋体" w:eastAsia="宋体" w:cs="宋体"/>
                <w:kern w:val="0"/>
                <w:sz w:val="24"/>
                <w:szCs w:val="24"/>
                <w:highlight w:val="none"/>
              </w:rPr>
              <w:t>（1）具有独立承担民事责任的能力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highlight w:val="none"/>
              </w:rPr>
            </w:pPr>
            <w:r>
              <w:rPr>
                <w:rFonts w:ascii="宋体" w:hAnsi="宋体" w:eastAsia="宋体" w:cs="宋体"/>
                <w:kern w:val="0"/>
                <w:sz w:val="24"/>
                <w:szCs w:val="24"/>
                <w:highlight w:val="none"/>
              </w:rPr>
              <w:t>（2）具有良好的商业信誉和健全的财务会计制度</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highlight w:val="none"/>
              </w:rPr>
            </w:pPr>
            <w:r>
              <w:rPr>
                <w:rFonts w:ascii="宋体" w:hAnsi="宋体" w:eastAsia="宋体" w:cs="宋体"/>
                <w:kern w:val="0"/>
                <w:sz w:val="24"/>
                <w:szCs w:val="24"/>
                <w:highlight w:val="none"/>
              </w:rPr>
              <w:t>（3）具有履行合同所必需的设备和专业技术能力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highlight w:val="none"/>
              </w:rPr>
            </w:pPr>
            <w:r>
              <w:rPr>
                <w:rFonts w:ascii="宋体" w:hAnsi="宋体" w:eastAsia="宋体" w:cs="宋体"/>
                <w:kern w:val="0"/>
                <w:sz w:val="24"/>
                <w:szCs w:val="24"/>
                <w:highlight w:val="none"/>
              </w:rPr>
              <w:t>（4）有依法缴纳税收和社会保障资金的良好记录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highlight w:val="none"/>
              </w:rPr>
            </w:pPr>
            <w:r>
              <w:rPr>
                <w:rFonts w:ascii="宋体" w:hAnsi="宋体" w:eastAsia="宋体" w:cs="宋体"/>
                <w:kern w:val="0"/>
                <w:sz w:val="24"/>
                <w:szCs w:val="24"/>
                <w:highlight w:val="none"/>
              </w:rPr>
              <w:t>（5）参加政府采购活动前三年内，在经营活动中没有重大违法记录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highlight w:val="none"/>
              </w:rPr>
            </w:pPr>
            <w:r>
              <w:rPr>
                <w:rFonts w:ascii="宋体" w:hAnsi="宋体" w:eastAsia="宋体" w:cs="宋体"/>
                <w:kern w:val="0"/>
                <w:sz w:val="24"/>
                <w:szCs w:val="24"/>
                <w:highlight w:val="none"/>
              </w:rPr>
              <w:t>（6）法律、行政法规规定的其他条件。</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highlight w:val="none"/>
              </w:rPr>
            </w:pPr>
            <w:r>
              <w:rPr>
                <w:rFonts w:ascii="宋体" w:hAnsi="宋体" w:eastAsia="宋体" w:cs="宋体"/>
                <w:b/>
                <w:bCs/>
                <w:kern w:val="0"/>
                <w:sz w:val="24"/>
                <w:szCs w:val="24"/>
                <w:highlight w:val="none"/>
              </w:rPr>
              <w:t>谈判文件对合格供应商的一般规定</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highlight w:val="none"/>
              </w:rPr>
            </w:pPr>
            <w:r>
              <w:rPr>
                <w:rFonts w:ascii="宋体" w:hAnsi="宋体" w:eastAsia="宋体" w:cs="宋体"/>
                <w:b/>
                <w:bCs/>
                <w:kern w:val="0"/>
                <w:sz w:val="24"/>
                <w:szCs w:val="24"/>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highlight w:val="none"/>
              </w:rPr>
            </w:pPr>
            <w:r>
              <w:rPr>
                <w:rFonts w:ascii="宋体" w:hAnsi="宋体" w:eastAsia="宋体" w:cs="宋体"/>
                <w:kern w:val="0"/>
                <w:sz w:val="24"/>
                <w:szCs w:val="24"/>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highlight w:val="none"/>
              </w:rPr>
            </w:pPr>
            <w:r>
              <w:rPr>
                <w:rFonts w:ascii="宋体" w:hAnsi="宋体" w:eastAsia="宋体" w:cs="宋体"/>
                <w:kern w:val="0"/>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highlight w:val="none"/>
              </w:rPr>
            </w:pPr>
            <w:r>
              <w:rPr>
                <w:rFonts w:ascii="宋体" w:hAnsi="宋体" w:eastAsia="宋体" w:cs="宋体"/>
                <w:kern w:val="0"/>
                <w:sz w:val="24"/>
                <w:szCs w:val="24"/>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highlight w:val="none"/>
              </w:rPr>
            </w:pPr>
          </w:p>
        </w:tc>
      </w:tr>
    </w:tbl>
    <w:p>
      <w:pPr>
        <w:widowControl/>
        <w:spacing w:before="75" w:after="75" w:line="375" w:lineRule="atLeast"/>
        <w:ind w:firstLine="480"/>
        <w:rPr>
          <w:rFonts w:ascii="宋体" w:hAnsi="宋体" w:eastAsia="宋体" w:cs="宋体"/>
          <w:kern w:val="0"/>
          <w:sz w:val="24"/>
          <w:szCs w:val="24"/>
          <w:highlight w:val="none"/>
        </w:rPr>
      </w:pPr>
      <w:r>
        <w:rPr>
          <w:rFonts w:ascii="宋体" w:hAnsi="宋体" w:eastAsia="宋体" w:cs="宋体"/>
          <w:kern w:val="0"/>
          <w:sz w:val="24"/>
          <w:szCs w:val="24"/>
          <w:highlight w:val="none"/>
        </w:rPr>
        <w:t>2、我方对上述声明的真实性、合法性、准确性、有效性负责，并愿意根据谈判文件和谈判过程中贵方要求提供全部现有资料、数据、文件等予以证实。</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备注：对于接受联合体形式的谈判且供应商是联合体的，则联合体各成员都应当提交本资格证明文件。</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（全称并加盖公章）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w:t>
      </w:r>
    </w:p>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line="435" w:lineRule="atLeast"/>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附件3-3         </w:t>
      </w:r>
      <w:r>
        <w:rPr>
          <w:rFonts w:ascii="宋体" w:hAnsi="宋体" w:eastAsia="宋体" w:cs="宋体"/>
          <w:b/>
          <w:bCs/>
          <w:kern w:val="0"/>
          <w:sz w:val="24"/>
          <w:szCs w:val="24"/>
          <w:highlight w:val="none"/>
        </w:rPr>
        <w:t>单位负责人授权书</w:t>
      </w:r>
    </w:p>
    <w:p>
      <w:pPr>
        <w:widowControl/>
        <w:spacing w:before="75" w:after="75" w:line="40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致：(采购人或采购代理机构</w:t>
      </w:r>
      <w:r>
        <w:rPr>
          <w:rFonts w:ascii="Calibri" w:hAnsi="Calibri" w:eastAsia="宋体" w:cs="宋体"/>
          <w:kern w:val="0"/>
          <w:sz w:val="24"/>
          <w:szCs w:val="24"/>
          <w:highlight w:val="none"/>
        </w:rPr>
        <w:t>)      </w:t>
      </w:r>
      <w:r>
        <w:rPr>
          <w:rFonts w:ascii="宋体" w:hAnsi="宋体" w:eastAsia="宋体" w:cs="宋体"/>
          <w:kern w:val="0"/>
          <w:sz w:val="24"/>
          <w:szCs w:val="24"/>
          <w:highlight w:val="none"/>
        </w:rPr>
        <w:t> </w:t>
      </w:r>
    </w:p>
    <w:p>
      <w:pPr>
        <w:widowControl/>
        <w:spacing w:before="75" w:after="75" w:line="360"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供应商代表无转委权。特此授权。</w:t>
      </w:r>
    </w:p>
    <w:p>
      <w:pPr>
        <w:widowControl/>
        <w:spacing w:before="75" w:after="75" w:line="360"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（以下无正文）</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单位负责人：         身份证号：            手机：              </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身份证号：            手机：              </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授权方</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供应商：（全称并加盖单位公章）</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单位负责人签字或盖章：                   </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接受授权方</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供应商代表签字：</w:t>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t>签署日期：    年   月   日</w:t>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t>                   </w:t>
      </w:r>
    </w:p>
    <w:p>
      <w:pPr>
        <w:widowControl/>
        <w:spacing w:before="75" w:after="75" w:line="360" w:lineRule="atLeast"/>
        <w:jc w:val="right"/>
        <w:rPr>
          <w:rFonts w:ascii="宋体" w:hAnsi="宋体" w:eastAsia="宋体" w:cs="宋体"/>
          <w:kern w:val="0"/>
          <w:sz w:val="24"/>
          <w:szCs w:val="24"/>
          <w:highlight w:val="none"/>
        </w:rPr>
      </w:pPr>
    </w:p>
    <w:p>
      <w:pPr>
        <w:widowControl/>
        <w:spacing w:before="75" w:after="75" w:line="40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附：单位负责人、供应商代表的身份证正反面复印件</w:t>
      </w:r>
    </w:p>
    <w:tbl>
      <w:tblPr>
        <w:tblStyle w:val="10"/>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05" w:lineRule="atLeast"/>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line="405" w:lineRule="atLeast"/>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要求：真实、有效、清晰</w:t>
            </w:r>
          </w:p>
          <w:p>
            <w:pPr>
              <w:widowControl/>
              <w:spacing w:line="405" w:lineRule="atLeast"/>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tc>
      </w:tr>
    </w:tbl>
    <w:p>
      <w:pPr>
        <w:widowControl/>
        <w:spacing w:before="75" w:after="75" w:line="285" w:lineRule="atLeast"/>
        <w:rPr>
          <w:rFonts w:ascii="宋体" w:hAnsi="宋体" w:eastAsia="宋体" w:cs="宋体"/>
          <w:kern w:val="0"/>
          <w:sz w:val="24"/>
          <w:szCs w:val="24"/>
          <w:highlight w:val="none"/>
        </w:rPr>
      </w:pPr>
      <w:r>
        <w:rPr>
          <w:rFonts w:hint="eastAsia" w:ascii="宋体" w:hAnsi="宋体" w:eastAsia="宋体" w:cs="宋体"/>
          <w:kern w:val="0"/>
          <w:szCs w:val="21"/>
          <w:highlight w:val="none"/>
        </w:rPr>
        <w:t>★</w:t>
      </w:r>
      <w:r>
        <w:rPr>
          <w:rFonts w:ascii="宋体" w:hAnsi="宋体" w:eastAsia="宋体" w:cs="宋体"/>
          <w:kern w:val="0"/>
          <w:szCs w:val="21"/>
          <w:highlight w:val="none"/>
        </w:rPr>
        <w:t>注意：</w:t>
      </w:r>
    </w:p>
    <w:p>
      <w:pPr>
        <w:widowControl/>
        <w:spacing w:line="28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1、企业（银行、保险、石油石化、电力、电信等行业除外）、事业单位和社会团体法人的“单位负责人”指</w:t>
      </w:r>
      <w:r>
        <w:rPr>
          <w:rFonts w:ascii="宋体" w:hAnsi="宋体" w:eastAsia="宋体" w:cs="宋体"/>
          <w:b/>
          <w:bCs/>
          <w:kern w:val="0"/>
          <w:highlight w:val="none"/>
        </w:rPr>
        <w:t>法定代表人</w:t>
      </w:r>
      <w:r>
        <w:rPr>
          <w:rFonts w:ascii="宋体" w:hAnsi="宋体" w:eastAsia="宋体" w:cs="宋体"/>
          <w:kern w:val="0"/>
          <w:szCs w:val="21"/>
          <w:highlight w:val="none"/>
        </w:rPr>
        <w:t>，即与实际提交的“营业执照等证明文件”载明的一致。</w:t>
      </w:r>
    </w:p>
    <w:p>
      <w:pPr>
        <w:widowControl/>
        <w:spacing w:line="28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2、银行、保险、石油石化、电力、电信等行业：以法人身份参加谈判的，“单位负责人”指</w:t>
      </w:r>
      <w:r>
        <w:rPr>
          <w:rFonts w:ascii="宋体" w:hAnsi="宋体" w:eastAsia="宋体" w:cs="宋体"/>
          <w:b/>
          <w:bCs/>
          <w:kern w:val="0"/>
          <w:highlight w:val="none"/>
        </w:rPr>
        <w:t>法定代表人</w:t>
      </w:r>
      <w:r>
        <w:rPr>
          <w:rFonts w:ascii="宋体" w:hAnsi="宋体" w:eastAsia="宋体" w:cs="宋体"/>
          <w:kern w:val="0"/>
          <w:szCs w:val="21"/>
          <w:highlight w:val="none"/>
        </w:rPr>
        <w:t>，即与实际提交的“营业执照等证明文件”载明的一致；以非法人身份参加谈判的，“单位负责人”指</w:t>
      </w:r>
      <w:r>
        <w:rPr>
          <w:rFonts w:ascii="宋体" w:hAnsi="宋体" w:eastAsia="宋体" w:cs="宋体"/>
          <w:b/>
          <w:bCs/>
          <w:kern w:val="0"/>
          <w:highlight w:val="none"/>
        </w:rPr>
        <w:t>代表单位行使职权的主要负责人</w:t>
      </w:r>
      <w:r>
        <w:rPr>
          <w:rFonts w:ascii="宋体" w:hAnsi="宋体" w:eastAsia="宋体" w:cs="宋体"/>
          <w:kern w:val="0"/>
          <w:szCs w:val="21"/>
          <w:highlight w:val="none"/>
        </w:rPr>
        <w:t>，即与实际提交的“营业执照等证明文件”载明的一致。</w:t>
      </w:r>
    </w:p>
    <w:p>
      <w:pPr>
        <w:widowControl/>
        <w:spacing w:line="28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widowControl/>
        <w:spacing w:before="75" w:after="75" w:line="285" w:lineRule="atLeast"/>
        <w:rPr>
          <w:rFonts w:ascii="宋体" w:hAnsi="宋体" w:eastAsia="宋体" w:cs="宋体"/>
          <w:kern w:val="0"/>
          <w:sz w:val="24"/>
          <w:szCs w:val="24"/>
          <w:highlight w:val="none"/>
        </w:rPr>
      </w:pPr>
      <w:r>
        <w:rPr>
          <w:rFonts w:ascii="宋体" w:hAnsi="宋体" w:eastAsia="宋体" w:cs="宋体"/>
          <w:kern w:val="0"/>
          <w:szCs w:val="21"/>
          <w:highlight w:val="none"/>
        </w:rPr>
        <w:t>4、对于接受联合体形式的谈判且供应商是联合体的，则只需要联合体的牵头方提交本授权书，在纸质响应文件正本中的本授权书应为原件。</w:t>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line="435" w:lineRule="atLeast"/>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附件3-4 </w:t>
      </w:r>
      <w:r>
        <w:rPr>
          <w:rFonts w:ascii="宋体" w:hAnsi="宋体" w:eastAsia="宋体" w:cs="宋体"/>
          <w:b/>
          <w:bCs/>
          <w:kern w:val="0"/>
          <w:sz w:val="24"/>
          <w:szCs w:val="24"/>
          <w:highlight w:val="none"/>
        </w:rPr>
        <w:t>       营业执照等证明文件</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致：(采购人或采购代理机构)        </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 ）供应商为法人（包括企业、事业单位和社会团体）的</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现附上由（填写“签发机关全称”）签发的我方统一社会信用代码（请填写法人的具体证照名称）复印件，该证明材料真实有效，否则我方负全部责任。</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 ）供应商为非法人（包括其他组织、自然人）的</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□现附上由（填写“签发机关全称”）签发的我方（请填写非自然人的非法人的具体证照名称）复印件，该证明材料真实有效，否则我方负全部责任。</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□现附上由（填写“签发机关全称”）签发的我方（请填写自然人的身份证件名称）复印件，该证明材料真实有效，否则我方负全部责任。</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注意：</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1、请供应商根据实际情况填写，在相应的（）中打“√”并选择相应的“□”（若有）后，再按照本格式的要求提供相应证明材料的复印件。</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3、供应商提供的相应证明材料复印件均应符合：内容完整、清晰、整洁，并由供应商加盖其单位公章。</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4、对于接受联合体形式的谈判且供应商是联合体的，则联合体各成员都应当提交本资格证明文件。</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（全称并加盖公章）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r>
        <w:rPr>
          <w:rFonts w:ascii="宋体" w:hAnsi="宋体" w:eastAsia="宋体" w:cs="宋体"/>
          <w:kern w:val="0"/>
          <w:sz w:val="24"/>
          <w:szCs w:val="24"/>
          <w:highlight w:val="none"/>
        </w:rPr>
        <w:br w:type="textWrapping"/>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line="435" w:lineRule="atLeast"/>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附件3-5         </w:t>
      </w:r>
      <w:r>
        <w:rPr>
          <w:rFonts w:ascii="宋体" w:hAnsi="宋体" w:eastAsia="宋体" w:cs="宋体"/>
          <w:b/>
          <w:bCs/>
          <w:kern w:val="0"/>
          <w:sz w:val="24"/>
          <w:szCs w:val="24"/>
          <w:highlight w:val="none"/>
        </w:rPr>
        <w:t>财务状况报告</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致：(采购人或采购代理机构</w:t>
      </w:r>
      <w:r>
        <w:rPr>
          <w:rFonts w:ascii="Calibri" w:hAnsi="Calibri" w:eastAsia="宋体" w:cs="宋体"/>
          <w:kern w:val="0"/>
          <w:sz w:val="24"/>
          <w:szCs w:val="24"/>
          <w:highlight w:val="none"/>
        </w:rPr>
        <w:t>)      </w:t>
      </w:r>
      <w:r>
        <w:rPr>
          <w:rFonts w:ascii="宋体" w:hAnsi="宋体" w:eastAsia="宋体" w:cs="宋体"/>
          <w:kern w:val="0"/>
          <w:sz w:val="24"/>
          <w:szCs w:val="24"/>
          <w:highlight w:val="none"/>
        </w:rPr>
        <w:t>   </w:t>
      </w:r>
    </w:p>
    <w:p>
      <w:pPr>
        <w:widowControl/>
        <w:spacing w:before="75" w:after="75" w:line="435" w:lineRule="atLeast"/>
        <w:ind w:firstLine="480"/>
        <w:rPr>
          <w:rFonts w:ascii="宋体" w:hAnsi="宋体" w:eastAsia="宋体" w:cs="宋体"/>
          <w:kern w:val="0"/>
          <w:sz w:val="24"/>
          <w:szCs w:val="24"/>
          <w:highlight w:val="none"/>
        </w:rPr>
      </w:pPr>
      <w:r>
        <w:rPr>
          <w:rFonts w:ascii="宋体" w:hAnsi="宋体" w:eastAsia="宋体" w:cs="宋体"/>
          <w:kern w:val="0"/>
          <w:sz w:val="24"/>
          <w:szCs w:val="24"/>
          <w:highlight w:val="none"/>
        </w:rPr>
        <w:t>（ ）供应商提供财务报告的</w:t>
      </w:r>
    </w:p>
    <w:p>
      <w:pPr>
        <w:widowControl/>
        <w:spacing w:before="75" w:after="75" w:line="435" w:lineRule="atLeast"/>
        <w:ind w:firstLine="480"/>
        <w:rPr>
          <w:rFonts w:ascii="宋体" w:hAnsi="宋体" w:eastAsia="宋体" w:cs="宋体"/>
          <w:kern w:val="0"/>
          <w:sz w:val="24"/>
          <w:szCs w:val="24"/>
          <w:highlight w:val="none"/>
        </w:rPr>
      </w:pPr>
      <w:r>
        <w:rPr>
          <w:rFonts w:ascii="宋体" w:hAnsi="宋体" w:eastAsia="宋体" w:cs="宋体"/>
          <w:kern w:val="0"/>
          <w:sz w:val="24"/>
          <w:szCs w:val="24"/>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widowControl/>
        <w:spacing w:before="75" w:after="75" w:line="435" w:lineRule="atLeast"/>
        <w:ind w:firstLine="480"/>
        <w:rPr>
          <w:rFonts w:ascii="宋体" w:hAnsi="宋体" w:eastAsia="宋体" w:cs="宋体"/>
          <w:kern w:val="0"/>
          <w:sz w:val="24"/>
          <w:szCs w:val="24"/>
          <w:highlight w:val="none"/>
        </w:rPr>
      </w:pPr>
      <w:r>
        <w:rPr>
          <w:rFonts w:ascii="宋体" w:hAnsi="宋体" w:eastAsia="宋体" w:cs="宋体"/>
          <w:kern w:val="0"/>
          <w:sz w:val="24"/>
          <w:szCs w:val="24"/>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widowControl/>
        <w:spacing w:before="75" w:after="75" w:line="435" w:lineRule="atLeast"/>
        <w:ind w:firstLine="480"/>
        <w:rPr>
          <w:rFonts w:ascii="宋体" w:hAnsi="宋体" w:eastAsia="宋体" w:cs="宋体"/>
          <w:kern w:val="0"/>
          <w:sz w:val="24"/>
          <w:szCs w:val="24"/>
          <w:highlight w:val="none"/>
        </w:rPr>
      </w:pPr>
      <w:r>
        <w:rPr>
          <w:rFonts w:ascii="宋体" w:hAnsi="宋体" w:eastAsia="宋体" w:cs="宋体"/>
          <w:kern w:val="0"/>
          <w:sz w:val="24"/>
          <w:szCs w:val="24"/>
          <w:highlight w:val="none"/>
        </w:rPr>
        <w:t>□社会团体适用：现附上我方（填写“具体的年度、或半年度、或季度”）财务报告复印件，包括资产负债表、业务活动表、现金流量表，上述证明材料真实有效，否则我方负全部责任。</w:t>
      </w:r>
    </w:p>
    <w:p>
      <w:pPr>
        <w:widowControl/>
        <w:spacing w:before="75" w:after="75" w:line="435" w:lineRule="atLeast"/>
        <w:ind w:firstLine="480"/>
        <w:rPr>
          <w:rFonts w:ascii="宋体" w:hAnsi="宋体" w:eastAsia="宋体" w:cs="宋体"/>
          <w:kern w:val="0"/>
          <w:sz w:val="24"/>
          <w:szCs w:val="24"/>
          <w:highlight w:val="none"/>
        </w:rPr>
      </w:pPr>
      <w:r>
        <w:rPr>
          <w:rFonts w:ascii="宋体" w:hAnsi="宋体" w:eastAsia="宋体" w:cs="宋体"/>
          <w:kern w:val="0"/>
          <w:sz w:val="24"/>
          <w:szCs w:val="24"/>
          <w:highlight w:val="none"/>
        </w:rPr>
        <w:t>（ ）供应商提供资信证明的</w:t>
      </w:r>
    </w:p>
    <w:p>
      <w:pPr>
        <w:widowControl/>
        <w:spacing w:before="75" w:after="75" w:line="435" w:lineRule="atLeast"/>
        <w:ind w:firstLine="480"/>
        <w:rPr>
          <w:rFonts w:ascii="宋体" w:hAnsi="宋体" w:eastAsia="宋体" w:cs="宋体"/>
          <w:kern w:val="0"/>
          <w:sz w:val="24"/>
          <w:szCs w:val="24"/>
          <w:highlight w:val="none"/>
        </w:rPr>
      </w:pPr>
      <w:r>
        <w:rPr>
          <w:rFonts w:ascii="宋体" w:hAnsi="宋体" w:eastAsia="宋体" w:cs="宋体"/>
          <w:kern w:val="0"/>
          <w:sz w:val="24"/>
          <w:szCs w:val="24"/>
          <w:highlight w:val="none"/>
        </w:rPr>
        <w:t>□非自然人适用：现附上我方开户（基本户）许可证复印件及我方银行：（填写“基本户的开户银行全称”）出具的资信证明复印件，上述证明材料真实有效，否则我方负全部责任。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kern w:val="0"/>
          <w:sz w:val="24"/>
          <w:szCs w:val="24"/>
          <w:highlight w:val="none"/>
        </w:rPr>
      </w:pPr>
      <w:r>
        <w:rPr>
          <w:rFonts w:ascii="宋体" w:hAnsi="宋体" w:eastAsia="宋体" w:cs="宋体"/>
          <w:kern w:val="0"/>
          <w:sz w:val="24"/>
          <w:szCs w:val="24"/>
          <w:highlight w:val="none"/>
        </w:rPr>
        <w:t>□自然人适用：现附上我方银行：（填写自然人的“个人账户的开户银行全称”）出具的资信证明复印件，上述证明材料真实有效，否则我方负全部责任。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kern w:val="0"/>
          <w:sz w:val="24"/>
          <w:szCs w:val="24"/>
          <w:highlight w:val="none"/>
        </w:rPr>
      </w:pPr>
      <w:r>
        <w:rPr>
          <w:rFonts w:ascii="宋体" w:hAnsi="宋体" w:eastAsia="宋体" w:cs="宋体"/>
          <w:kern w:val="0"/>
          <w:sz w:val="24"/>
          <w:szCs w:val="24"/>
          <w:highlight w:val="none"/>
        </w:rPr>
        <w:t>（ ）供应商提供投标担保函的</w:t>
      </w:r>
    </w:p>
    <w:p>
      <w:pPr>
        <w:widowControl/>
        <w:spacing w:before="75" w:after="75" w:line="435" w:lineRule="atLeast"/>
        <w:ind w:firstLine="480"/>
        <w:rPr>
          <w:rFonts w:ascii="宋体" w:hAnsi="宋体" w:eastAsia="宋体" w:cs="宋体"/>
          <w:kern w:val="0"/>
          <w:sz w:val="24"/>
          <w:szCs w:val="24"/>
          <w:highlight w:val="none"/>
        </w:rPr>
      </w:pPr>
      <w:r>
        <w:rPr>
          <w:rFonts w:ascii="宋体" w:hAnsi="宋体" w:eastAsia="宋体" w:cs="宋体"/>
          <w:kern w:val="0"/>
          <w:sz w:val="24"/>
          <w:szCs w:val="24"/>
          <w:highlight w:val="none"/>
        </w:rPr>
        <w:t>现附上由财政部门认可的政府采购专业担保机构：（填写“担保机构全称”）出具的投标担保函复印件，上述证明材料真实有效，否则我方负全部责任。</w:t>
      </w:r>
    </w:p>
    <w:p>
      <w:pPr>
        <w:widowControl/>
        <w:spacing w:before="75" w:after="75"/>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hint="eastAsia" w:ascii="宋体" w:hAnsi="宋体" w:eastAsia="宋体" w:cs="宋体"/>
          <w:kern w:val="0"/>
          <w:szCs w:val="21"/>
          <w:highlight w:val="none"/>
        </w:rPr>
        <w:t>★</w:t>
      </w:r>
      <w:r>
        <w:rPr>
          <w:rFonts w:ascii="宋体" w:hAnsi="宋体" w:eastAsia="宋体" w:cs="宋体"/>
          <w:kern w:val="0"/>
          <w:szCs w:val="21"/>
          <w:highlight w:val="none"/>
        </w:rPr>
        <w:t>注意事项：</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Cs w:val="21"/>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Cs w:val="21"/>
          <w:highlight w:val="none"/>
        </w:rPr>
        <w:t>2、供应商提供的财务报告复印件（成立年限按照首次响应文件递交截止时间推算）应符合下列规定：</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Cs w:val="21"/>
          <w:highlight w:val="none"/>
        </w:rPr>
        <w:t>2.1成立年限满1年及以上的供应商，提供经审计的上一年度的年度财务报告。</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Cs w:val="21"/>
          <w:highlight w:val="none"/>
        </w:rPr>
        <w:t>2.2成立年限满半年但不足1年的供应商，提供该半年度中任一季度的季度财务报告或该半年度的半年度财务报告。</w:t>
      </w:r>
    </w:p>
    <w:p>
      <w:pPr>
        <w:widowControl/>
        <w:spacing w:before="75" w:after="75"/>
        <w:ind w:firstLine="420"/>
        <w:jc w:val="left"/>
        <w:rPr>
          <w:rFonts w:ascii="宋体" w:hAnsi="宋体" w:eastAsia="宋体" w:cs="宋体"/>
          <w:kern w:val="0"/>
          <w:sz w:val="24"/>
          <w:szCs w:val="24"/>
          <w:highlight w:val="none"/>
        </w:rPr>
      </w:pPr>
      <w:r>
        <w:rPr>
          <w:rFonts w:hint="eastAsia" w:ascii="宋体" w:hAnsi="宋体" w:eastAsia="宋体" w:cs="宋体"/>
          <w:b/>
          <w:bCs/>
          <w:kern w:val="0"/>
          <w:highlight w:val="none"/>
        </w:rPr>
        <w:t>※</w:t>
      </w:r>
      <w:r>
        <w:rPr>
          <w:rFonts w:ascii="宋体" w:hAnsi="宋体" w:eastAsia="宋体" w:cs="宋体"/>
          <w:b/>
          <w:bCs/>
          <w:kern w:val="0"/>
          <w:highlight w:val="none"/>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Cs w:val="21"/>
          <w:highlight w:val="none"/>
        </w:rPr>
        <w:t>3、“财政部门认可的政府采购专业担保机构”应符合《财政部关于开展政府采购信用担保试点工作方案》（财库[2012]124号）的规定。</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Cs w:val="21"/>
          <w:highlight w:val="none"/>
        </w:rPr>
        <w:t>4、供应商提供的相应证明材料复印件均应符合：内容完整、清晰、整洁，并由供应商加盖其单位公章。</w:t>
      </w:r>
    </w:p>
    <w:p>
      <w:pPr>
        <w:widowControl/>
        <w:spacing w:before="75" w:after="75" w:line="315" w:lineRule="atLeast"/>
        <w:ind w:firstLine="420"/>
        <w:jc w:val="left"/>
        <w:rPr>
          <w:rFonts w:ascii="宋体" w:hAnsi="宋体" w:eastAsia="宋体" w:cs="宋体"/>
          <w:kern w:val="0"/>
          <w:sz w:val="24"/>
          <w:szCs w:val="24"/>
          <w:highlight w:val="none"/>
        </w:rPr>
      </w:pPr>
      <w:r>
        <w:rPr>
          <w:rFonts w:ascii="宋体" w:hAnsi="宋体" w:eastAsia="宋体" w:cs="宋体"/>
          <w:kern w:val="0"/>
          <w:szCs w:val="21"/>
          <w:highlight w:val="none"/>
        </w:rPr>
        <w:t>5、对于接受联合体形式的谈判且供应商是联合体的，则联合体各成员都应当提交本资格证明文件。</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b/>
          <w:bCs/>
          <w:kern w:val="0"/>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（全称并加盖公章）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line="435" w:lineRule="atLeast"/>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附件3-6          </w:t>
      </w:r>
      <w:r>
        <w:rPr>
          <w:rFonts w:ascii="宋体" w:hAnsi="宋体" w:eastAsia="宋体" w:cs="宋体"/>
          <w:b/>
          <w:bCs/>
          <w:kern w:val="0"/>
          <w:sz w:val="24"/>
          <w:szCs w:val="24"/>
          <w:highlight w:val="none"/>
        </w:rPr>
        <w:t>依法缴纳税收证明材料</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致：(采购人或采购代理机构</w:t>
      </w:r>
      <w:r>
        <w:rPr>
          <w:rFonts w:ascii="Calibri" w:hAnsi="Calibri" w:eastAsia="宋体" w:cs="宋体"/>
          <w:kern w:val="0"/>
          <w:sz w:val="24"/>
          <w:szCs w:val="24"/>
          <w:highlight w:val="none"/>
        </w:rPr>
        <w:t>)   </w:t>
      </w:r>
      <w:r>
        <w:rPr>
          <w:rFonts w:ascii="宋体" w:hAnsi="宋体" w:eastAsia="宋体" w:cs="宋体"/>
          <w:kern w:val="0"/>
          <w:szCs w:val="21"/>
          <w:highlight w:val="none"/>
        </w:rPr>
        <w:t>   </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1、依法缴纳税收的供应商</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 ）法人（包括企业、事业单位和社会团体）的</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现附上自    年   月   日至    年   月   日期间我方缴纳的（按照供应商实际缴纳的税种名称填写，如：增值税、所得税等）税收凭据复印件，上述证明材料真实有效，否则我方负全部责任。</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 ）非法人（包括其他组织、自然人）的</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现附上自    年   月   日至    年   月   日期间我方缴纳的（按照供应商实际缴纳的税种名称填写）税收凭据复印件，上述证明材料真实有效，否则我方负全部责任。</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2、依法免税的供应商</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 ）现附上我方依法免税证明材料复印件，上述证明材料真实有效，否则我方负全部责任。</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hint="eastAsia" w:ascii="宋体" w:hAnsi="宋体" w:eastAsia="宋体" w:cs="宋体"/>
          <w:kern w:val="0"/>
          <w:szCs w:val="21"/>
          <w:highlight w:val="none"/>
        </w:rPr>
        <w:t>★</w:t>
      </w:r>
      <w:r>
        <w:rPr>
          <w:rFonts w:ascii="宋体" w:hAnsi="宋体" w:eastAsia="宋体" w:cs="宋体"/>
          <w:kern w:val="0"/>
          <w:szCs w:val="21"/>
          <w:highlight w:val="none"/>
        </w:rPr>
        <w:t>注意：</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Cs w:val="21"/>
          <w:highlight w:val="none"/>
        </w:rPr>
        <w:t>1、请供应商根据实际情况填写，在相应的（）中打“√”，并按照本格式的要求提供相应证明材料的复印件。</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Cs w:val="21"/>
          <w:highlight w:val="none"/>
        </w:rPr>
        <w:t>2、供应商提供的税收凭据复印件应符合下列规定：</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Cs w:val="21"/>
          <w:highlight w:val="none"/>
        </w:rPr>
        <w:t>2.1首次响应文件递交截止时间前（不含截止时间的当月）已依法缴纳税收的供应商，提供首次响应文件递交截止时间前六个月（不含截止时间的当月）中任一月份的税收凭据复印件。</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Cs w:val="21"/>
          <w:highlight w:val="none"/>
        </w:rPr>
        <w:t>2.2首次响应文件递交截止时间的当月成立且已依法缴纳税收的供应商，提供截止时间当月的税收凭据复印件。</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Cs w:val="21"/>
          <w:highlight w:val="none"/>
        </w:rPr>
        <w:t>2.3首次响应文件递交截止时间的当月成立但因税务机关原因而尚未依法缴纳税收的供应商，提供依法缴纳税收承诺书原件（格式自拟），该承诺书视同税收凭据。</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Cs w:val="21"/>
          <w:highlight w:val="none"/>
        </w:rPr>
        <w:t>3、供应商提供的相应证明材料复印件均应符合：内容完整、清晰、整洁，并由供应商加盖其单位公章。</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Cs w:val="21"/>
          <w:highlight w:val="none"/>
        </w:rPr>
        <w:t>4、</w:t>
      </w:r>
      <w:r>
        <w:rPr>
          <w:rFonts w:ascii="宋体" w:hAnsi="宋体" w:eastAsia="宋体" w:cs="宋体"/>
          <w:b/>
          <w:bCs/>
          <w:kern w:val="0"/>
          <w:highlight w:val="none"/>
        </w:rPr>
        <w:t>“依法缴纳税收证明材料”</w:t>
      </w:r>
      <w:r>
        <w:rPr>
          <w:rFonts w:ascii="宋体" w:hAnsi="宋体" w:eastAsia="宋体" w:cs="宋体"/>
          <w:kern w:val="0"/>
          <w:szCs w:val="21"/>
          <w:highlight w:val="none"/>
        </w:rPr>
        <w:t>有欠缴记录的，视为</w:t>
      </w:r>
      <w:r>
        <w:rPr>
          <w:rFonts w:ascii="宋体" w:hAnsi="宋体" w:eastAsia="宋体" w:cs="宋体"/>
          <w:b/>
          <w:bCs/>
          <w:kern w:val="0"/>
          <w:highlight w:val="none"/>
        </w:rPr>
        <w:t>未依法缴纳税收</w:t>
      </w:r>
      <w:r>
        <w:rPr>
          <w:rFonts w:ascii="宋体" w:hAnsi="宋体" w:eastAsia="宋体" w:cs="宋体"/>
          <w:kern w:val="0"/>
          <w:szCs w:val="21"/>
          <w:highlight w:val="none"/>
        </w:rPr>
        <w:t>。</w:t>
      </w:r>
    </w:p>
    <w:p>
      <w:pPr>
        <w:widowControl/>
        <w:spacing w:before="75" w:after="75" w:line="31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5、对于接受联合体形式的谈判且供应商是联合体的，则联合体各成员都应当提交本资格证明文件。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（全称并加盖公章）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附件3-7       </w:t>
      </w:r>
      <w:r>
        <w:rPr>
          <w:rFonts w:ascii="宋体" w:hAnsi="宋体" w:eastAsia="宋体" w:cs="宋体"/>
          <w:b/>
          <w:bCs/>
          <w:kern w:val="0"/>
          <w:sz w:val="24"/>
          <w:szCs w:val="24"/>
          <w:highlight w:val="none"/>
        </w:rPr>
        <w:t>依法缴纳社会保障资金证明材料</w:t>
      </w: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致：(采购人或采购代理机构)       </w:t>
      </w:r>
    </w:p>
    <w:p>
      <w:pPr>
        <w:widowControl/>
        <w:spacing w:before="75" w:after="75"/>
        <w:ind w:firstLine="48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1、依法缴纳社会保障资金的供应商</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 ）法人（包括企业、事业单位和社会团体）的</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 ）非法人（包括其他组织、自然人）的</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8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2、依法不需要缴纳社会保障资金的供应商</w:t>
      </w:r>
    </w:p>
    <w:p>
      <w:pPr>
        <w:widowControl/>
        <w:spacing w:before="75" w:after="75"/>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 ）现附上我方依法不需要缴纳社会保障资金证明材料复印件，上述证明材料真实有效，否则我方负全部责任。</w:t>
      </w:r>
    </w:p>
    <w:p>
      <w:pPr>
        <w:widowControl/>
        <w:spacing w:line="28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line="285" w:lineRule="atLeast"/>
        <w:jc w:val="left"/>
        <w:rPr>
          <w:rFonts w:ascii="宋体" w:hAnsi="宋体" w:eastAsia="宋体" w:cs="宋体"/>
          <w:kern w:val="0"/>
          <w:sz w:val="24"/>
          <w:szCs w:val="24"/>
          <w:highlight w:val="none"/>
        </w:rPr>
      </w:pPr>
      <w:r>
        <w:rPr>
          <w:rFonts w:hint="eastAsia" w:ascii="宋体" w:hAnsi="宋体" w:eastAsia="宋体" w:cs="宋体"/>
          <w:kern w:val="0"/>
          <w:szCs w:val="21"/>
          <w:highlight w:val="none"/>
        </w:rPr>
        <w:t>★</w:t>
      </w:r>
      <w:r>
        <w:rPr>
          <w:rFonts w:ascii="宋体" w:hAnsi="宋体" w:eastAsia="宋体" w:cs="宋体"/>
          <w:kern w:val="0"/>
          <w:szCs w:val="21"/>
          <w:highlight w:val="none"/>
        </w:rPr>
        <w:t>注意：</w:t>
      </w:r>
    </w:p>
    <w:p>
      <w:pPr>
        <w:widowControl/>
        <w:spacing w:line="28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1、请供应商根据实际情况填写，在相应的（）中打“√”，并按照本格式的要求提供相应证明材料的复印件。</w:t>
      </w:r>
    </w:p>
    <w:p>
      <w:pPr>
        <w:widowControl/>
        <w:spacing w:line="28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2、供应商提供的社会保险凭据复印件应符合下列规定：</w:t>
      </w:r>
    </w:p>
    <w:p>
      <w:pPr>
        <w:widowControl/>
        <w:spacing w:line="28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pPr>
        <w:widowControl/>
        <w:spacing w:line="28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2.2首次响应文件递交截止时间的当月成立且已依法缴纳社会保障资金的供应商，提供首次响应文件递交截止时间当月的社会保险凭据复印件。</w:t>
      </w:r>
    </w:p>
    <w:p>
      <w:pPr>
        <w:widowControl/>
        <w:spacing w:line="28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widowControl/>
        <w:spacing w:line="28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3、供应商提供的相应证明材料复印件均应符合：内容完整、清晰、整洁，并由供应商加盖其单位公章。</w:t>
      </w:r>
    </w:p>
    <w:p>
      <w:pPr>
        <w:widowControl/>
        <w:spacing w:line="28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4、</w:t>
      </w:r>
      <w:r>
        <w:rPr>
          <w:rFonts w:ascii="宋体" w:hAnsi="宋体" w:eastAsia="宋体" w:cs="宋体"/>
          <w:b/>
          <w:bCs/>
          <w:kern w:val="0"/>
          <w:highlight w:val="none"/>
        </w:rPr>
        <w:t>“依法缴纳社会保障资金证明材料”</w:t>
      </w:r>
      <w:r>
        <w:rPr>
          <w:rFonts w:ascii="宋体" w:hAnsi="宋体" w:eastAsia="宋体" w:cs="宋体"/>
          <w:kern w:val="0"/>
          <w:szCs w:val="21"/>
          <w:highlight w:val="none"/>
        </w:rPr>
        <w:t>有欠缴记录的，视为</w:t>
      </w:r>
      <w:r>
        <w:rPr>
          <w:rFonts w:ascii="宋体" w:hAnsi="宋体" w:eastAsia="宋体" w:cs="宋体"/>
          <w:b/>
          <w:bCs/>
          <w:kern w:val="0"/>
          <w:highlight w:val="none"/>
        </w:rPr>
        <w:t>未依法缴纳社会保障资金</w:t>
      </w:r>
      <w:r>
        <w:rPr>
          <w:rFonts w:ascii="宋体" w:hAnsi="宋体" w:eastAsia="宋体" w:cs="宋体"/>
          <w:kern w:val="0"/>
          <w:szCs w:val="21"/>
          <w:highlight w:val="none"/>
        </w:rPr>
        <w:t>。</w:t>
      </w:r>
    </w:p>
    <w:p>
      <w:pPr>
        <w:widowControl/>
        <w:spacing w:before="75" w:after="75" w:line="28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5、对于接受联合体形式的谈判且供应商是联合体的，则联合体各成员都应当提交本资格证明文件。</w:t>
      </w: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（全称并加盖公章）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w:t>
      </w:r>
      <w:r>
        <w:rPr>
          <w:rFonts w:ascii="宋体" w:hAnsi="宋体" w:eastAsia="宋体" w:cs="宋体"/>
          <w:kern w:val="0"/>
          <w:sz w:val="24"/>
          <w:szCs w:val="24"/>
          <w:highlight w:val="none"/>
        </w:rPr>
        <w:br w:type="textWrapping"/>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line="435" w:lineRule="atLeas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附件3-8   </w:t>
      </w:r>
      <w:r>
        <w:rPr>
          <w:rFonts w:ascii="宋体" w:hAnsi="宋体" w:eastAsia="宋体" w:cs="宋体"/>
          <w:b/>
          <w:bCs/>
          <w:kern w:val="0"/>
          <w:sz w:val="24"/>
          <w:szCs w:val="24"/>
          <w:highlight w:val="none"/>
        </w:rPr>
        <w:t>具备履行合同所必需设备和专业技术能力证明材料声明函</w:t>
      </w:r>
    </w:p>
    <w:p>
      <w:pPr>
        <w:widowControl/>
        <w:spacing w:before="75" w:after="75" w:line="435" w:lineRule="atLeast"/>
        <w:jc w:val="left"/>
        <w:rPr>
          <w:rFonts w:ascii="宋体" w:hAnsi="宋体" w:eastAsia="宋体" w:cs="宋体"/>
          <w:kern w:val="0"/>
          <w:sz w:val="24"/>
          <w:szCs w:val="24"/>
          <w:highlight w:val="none"/>
        </w:rPr>
      </w:pP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致：(采购人或采购代理机构)       </w:t>
      </w:r>
    </w:p>
    <w:p>
      <w:pPr>
        <w:widowControl/>
        <w:spacing w:before="75" w:after="75"/>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我方具备履行合同所必需的设备和专业技术能力，并对本声明承诺的真实性负责，否则产生不利后果由我方承担责任。</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特此声明。</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注意：</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w:t>
      </w:r>
      <w:r>
        <w:rPr>
          <w:rFonts w:ascii="宋体" w:hAnsi="宋体" w:eastAsia="宋体" w:cs="宋体"/>
          <w:b/>
          <w:bCs/>
          <w:kern w:val="0"/>
          <w:sz w:val="24"/>
          <w:szCs w:val="24"/>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ascii="宋体" w:hAnsi="宋体" w:eastAsia="宋体" w:cs="宋体"/>
          <w:b/>
          <w:bCs/>
          <w:kern w:val="0"/>
          <w:sz w:val="24"/>
          <w:szCs w:val="24"/>
          <w:highlight w:val="none"/>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（全称并加盖公章）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line="435" w:lineRule="atLeast"/>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附件3-9 </w:t>
      </w:r>
      <w:r>
        <w:rPr>
          <w:rFonts w:ascii="宋体" w:hAnsi="宋体" w:eastAsia="宋体" w:cs="宋体"/>
          <w:b/>
          <w:bCs/>
          <w:kern w:val="0"/>
          <w:sz w:val="24"/>
          <w:szCs w:val="24"/>
          <w:highlight w:val="none"/>
        </w:rPr>
        <w:t>参加采购活动前三年内在经营活动中没有重大违法记录书面声明</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致：(采购人或采购代理机构)       </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参加采购活动前三年内，我方在经营活动中没有重大违法记录，</w:t>
      </w:r>
      <w:r>
        <w:rPr>
          <w:rFonts w:ascii="宋体" w:hAnsi="宋体" w:eastAsia="宋体" w:cs="宋体"/>
          <w:kern w:val="0"/>
          <w:szCs w:val="21"/>
          <w:highlight w:val="none"/>
        </w:rPr>
        <w:t>也无行贿犯罪记录</w:t>
      </w:r>
      <w:r>
        <w:rPr>
          <w:rFonts w:ascii="宋体" w:hAnsi="宋体" w:eastAsia="宋体" w:cs="宋体"/>
          <w:kern w:val="0"/>
          <w:sz w:val="24"/>
          <w:szCs w:val="24"/>
          <w:highlight w:val="none"/>
        </w:rPr>
        <w:t>。</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特此声明。</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注意：</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1、“重大违法记录”指供应商因违法经营受到刑事处罚或责令停产停业、吊销许可证或执照、较大数额罚款等行政处罚。</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2、请供应商根据实际情况进行声明，若声明不真实，视为提供虚假材料。</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（全称并加盖公章）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line="435" w:lineRule="atLeast"/>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附件3-10       </w:t>
      </w:r>
      <w:r>
        <w:rPr>
          <w:rFonts w:ascii="宋体" w:hAnsi="宋体" w:eastAsia="宋体" w:cs="宋体"/>
          <w:b/>
          <w:bCs/>
          <w:kern w:val="0"/>
          <w:sz w:val="24"/>
          <w:szCs w:val="24"/>
          <w:highlight w:val="none"/>
        </w:rPr>
        <w:t>信用记录查询结果</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致：(采购人或采购代理机构)     </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注意：</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1、供应商应</w:t>
      </w:r>
      <w:r>
        <w:rPr>
          <w:rFonts w:ascii="宋体" w:hAnsi="宋体" w:eastAsia="宋体" w:cs="宋体"/>
          <w:b/>
          <w:bCs/>
          <w:kern w:val="0"/>
          <w:highlight w:val="none"/>
        </w:rPr>
        <w:t>同时提供</w:t>
      </w:r>
      <w:r>
        <w:rPr>
          <w:rFonts w:ascii="宋体" w:hAnsi="宋体" w:eastAsia="宋体" w:cs="宋体"/>
          <w:kern w:val="0"/>
          <w:szCs w:val="21"/>
          <w:highlight w:val="none"/>
        </w:rPr>
        <w:t>在谈判文件要求的首次响应文件递交截止时点前通过上述2个网站获取的信用信息查询结果，信用信息查询结果应为从上述网站获取的查询结果原始页面的打印件或完整截图，</w:t>
      </w:r>
      <w:r>
        <w:rPr>
          <w:rFonts w:ascii="宋体" w:hAnsi="宋体" w:eastAsia="宋体" w:cs="宋体"/>
          <w:b/>
          <w:bCs/>
          <w:kern w:val="0"/>
          <w:highlight w:val="none"/>
        </w:rPr>
        <w:t>否则其响应文件将被否决</w:t>
      </w:r>
      <w:r>
        <w:rPr>
          <w:rFonts w:ascii="宋体" w:hAnsi="宋体" w:eastAsia="宋体" w:cs="宋体"/>
          <w:kern w:val="0"/>
          <w:szCs w:val="21"/>
          <w:highlight w:val="none"/>
        </w:rPr>
        <w:t>。</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2、若本项目接受联合体响应谈判且供应商为联合体，则联合体各成员均应</w:t>
      </w:r>
      <w:r>
        <w:rPr>
          <w:rFonts w:ascii="宋体" w:hAnsi="宋体" w:eastAsia="宋体" w:cs="宋体"/>
          <w:b/>
          <w:bCs/>
          <w:kern w:val="0"/>
          <w:highlight w:val="none"/>
        </w:rPr>
        <w:t>同时提供</w:t>
      </w:r>
      <w:r>
        <w:rPr>
          <w:rFonts w:ascii="宋体" w:hAnsi="宋体" w:eastAsia="宋体" w:cs="宋体"/>
          <w:kern w:val="0"/>
          <w:szCs w:val="21"/>
          <w:highlight w:val="none"/>
        </w:rPr>
        <w:t>在谈判文件要求的首次响应文件截止时点前通过上述2个网站获取的联合体各方的信用信息查询结果，信用信息查询结果应为从上述网站获取的查询结果原始页面的完整截图或打印件，</w:t>
      </w:r>
      <w:r>
        <w:rPr>
          <w:rFonts w:ascii="宋体" w:hAnsi="宋体" w:eastAsia="宋体" w:cs="宋体"/>
          <w:b/>
          <w:bCs/>
          <w:kern w:val="0"/>
          <w:highlight w:val="none"/>
        </w:rPr>
        <w:t>否则其响应文件将被否决</w:t>
      </w:r>
      <w:r>
        <w:rPr>
          <w:rFonts w:ascii="宋体" w:hAnsi="宋体" w:eastAsia="宋体" w:cs="宋体"/>
          <w:kern w:val="0"/>
          <w:szCs w:val="21"/>
          <w:highlight w:val="none"/>
        </w:rPr>
        <w:t>。</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3、联合体成员存在不良信用记录的，视同联合体存在不良信用记录，</w:t>
      </w:r>
      <w:r>
        <w:rPr>
          <w:rFonts w:ascii="宋体" w:hAnsi="宋体" w:eastAsia="宋体" w:cs="宋体"/>
          <w:b/>
          <w:bCs/>
          <w:kern w:val="0"/>
          <w:highlight w:val="none"/>
        </w:rPr>
        <w:t>其响应文件将被否决</w:t>
      </w:r>
      <w:r>
        <w:rPr>
          <w:rFonts w:ascii="宋体" w:hAnsi="宋体" w:eastAsia="宋体" w:cs="宋体"/>
          <w:kern w:val="0"/>
          <w:szCs w:val="21"/>
          <w:highlight w:val="none"/>
        </w:rPr>
        <w:t>。</w:t>
      </w:r>
    </w:p>
    <w:p>
      <w:pPr>
        <w:widowControl/>
        <w:spacing w:before="75" w:after="75" w:line="435" w:lineRule="atLeast"/>
        <w:jc w:val="left"/>
        <w:rPr>
          <w:rFonts w:ascii="宋体" w:hAnsi="宋体" w:eastAsia="宋体" w:cs="宋体"/>
          <w:kern w:val="0"/>
          <w:sz w:val="24"/>
          <w:szCs w:val="24"/>
          <w:highlight w:val="none"/>
        </w:rPr>
      </w:pPr>
      <w:r>
        <w:rPr>
          <w:rFonts w:hint="eastAsia" w:ascii="宋体" w:hAnsi="宋体" w:eastAsia="宋体" w:cs="宋体"/>
          <w:b/>
          <w:bCs/>
          <w:kern w:val="0"/>
          <w:highlight w:val="none"/>
        </w:rPr>
        <w:t>※</w:t>
      </w:r>
      <w:r>
        <w:rPr>
          <w:rFonts w:ascii="宋体" w:hAnsi="宋体" w:eastAsia="宋体" w:cs="宋体"/>
          <w:b/>
          <w:bCs/>
          <w:kern w:val="0"/>
          <w:highlight w:val="none"/>
        </w:rPr>
        <w:t>除上述规定外，信用记录的其他有关规定（包括但不限于：信用信息的查询渠道及截止时点、查询记录和证据留存的具体方式、使用规则等内容）详见谈判文件第一章。</w:t>
      </w: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（全称并加盖公章）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line="435" w:lineRule="atLeast"/>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附件3-1</w:t>
      </w: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      </w:t>
      </w:r>
      <w:r>
        <w:rPr>
          <w:rFonts w:ascii="宋体" w:hAnsi="宋体" w:eastAsia="宋体" w:cs="宋体"/>
          <w:b/>
          <w:bCs/>
          <w:kern w:val="0"/>
          <w:sz w:val="24"/>
          <w:szCs w:val="24"/>
          <w:highlight w:val="none"/>
        </w:rPr>
        <w:t>  联合体协议</w:t>
      </w:r>
    </w:p>
    <w:p>
      <w:pPr>
        <w:widowControl/>
        <w:spacing w:before="75" w:after="75" w:line="435" w:lineRule="atLeast"/>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（接受联合体的项目使用）</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致：(采购人或采购代理机构</w:t>
      </w:r>
      <w:r>
        <w:rPr>
          <w:rFonts w:ascii="Calibri" w:hAnsi="Calibri" w:eastAsia="宋体" w:cs="宋体"/>
          <w:kern w:val="0"/>
          <w:sz w:val="24"/>
          <w:szCs w:val="24"/>
          <w:highlight w:val="none"/>
        </w:rPr>
        <w:t>)    </w:t>
      </w: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    兹有（填写“联合体中各方的全称”，各方的全称之间请用“、”分割）自愿组成联合体，共同参加（填写 “项目名称” ） 项目（项目编号：       ）的响应谈判。现就联合体参加本项目响应谈判的有关事宜达成下列协议：</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一、联合体各方应承担的工作和义务具体如下：</w:t>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t>1、联合体牵头方单位名称：                                  </w:t>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t>（填写“工作及义务的具体内容”） ；</w:t>
      </w:r>
    </w:p>
    <w:p>
      <w:pPr>
        <w:widowControl/>
        <w:spacing w:before="75" w:after="75" w:line="435" w:lineRule="atLeast"/>
        <w:jc w:val="right"/>
        <w:rPr>
          <w:rFonts w:ascii="宋体" w:hAnsi="宋体" w:eastAsia="宋体" w:cs="宋体"/>
          <w:kern w:val="0"/>
          <w:sz w:val="24"/>
          <w:szCs w:val="24"/>
          <w:highlight w:val="none"/>
        </w:rPr>
      </w:pPr>
      <w:r>
        <w:rPr>
          <w:rFonts w:ascii="宋体" w:hAnsi="宋体" w:eastAsia="宋体" w:cs="宋体"/>
          <w:kern w:val="0"/>
          <w:sz w:val="24"/>
          <w:szCs w:val="24"/>
          <w:highlight w:val="none"/>
        </w:rPr>
        <w:t>2、联合体成员方单位名称：                                    </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2.1（成员一的全称）： （填写“工作及义务的具体内容”） ；</w:t>
      </w:r>
    </w:p>
    <w:p>
      <w:pPr>
        <w:widowControl/>
        <w:spacing w:before="75" w:after="75" w:line="435" w:lineRule="atLeast"/>
        <w:ind w:firstLine="480"/>
        <w:rPr>
          <w:rFonts w:ascii="宋体" w:hAnsi="宋体" w:eastAsia="宋体" w:cs="宋体"/>
          <w:kern w:val="0"/>
          <w:sz w:val="24"/>
          <w:szCs w:val="24"/>
          <w:highlight w:val="none"/>
        </w:rPr>
      </w:pPr>
      <w:r>
        <w:rPr>
          <w:rFonts w:ascii="宋体" w:hAnsi="宋体" w:eastAsia="宋体" w:cs="宋体"/>
          <w:kern w:val="0"/>
          <w:sz w:val="24"/>
          <w:szCs w:val="24"/>
          <w:highlight w:val="none"/>
        </w:rPr>
        <w:t>……</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三、联合体各方约定由（填写填写“牵头方的全称”）代表联合体办理谈判保证金事宜。</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四、若成交，牵头方将代表联合体与采购人就合同签订事宜进行协商；若协商一致，则联合体各方将共同与采购人签订政府采购合同，并就政府采购合同约定的事项对采购人承担连带责任。</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五、本协议自签署之日起生效，政府采购合同履行完毕后自动失效。</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六、本协议一式（填写具体份数）份，联合体各方各执一份，响应文件中提交一份。</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（以下无正文）</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牵头方：（全称并加盖单位公章）</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（签字或盖章）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成员一：（全称并加盖成员一的单位公章）</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（签字或盖章）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成员**：（全称并加盖成员**的单位公章）</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（签字或盖章）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签署日期：    年    月    日</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hint="eastAsia" w:ascii="宋体" w:hAnsi="宋体" w:eastAsia="宋体" w:cs="宋体"/>
          <w:kern w:val="0"/>
          <w:szCs w:val="21"/>
          <w:highlight w:val="none"/>
        </w:rPr>
        <w:t>★</w:t>
      </w:r>
      <w:r>
        <w:rPr>
          <w:rFonts w:ascii="宋体" w:hAnsi="宋体" w:eastAsia="宋体" w:cs="宋体"/>
          <w:kern w:val="0"/>
          <w:szCs w:val="21"/>
          <w:highlight w:val="none"/>
        </w:rPr>
        <w:t>注意：</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Cs w:val="21"/>
          <w:highlight w:val="none"/>
        </w:rPr>
        <w:t>1、若谈判文件规定接受联合体形式且供应商为联合体的，则供应商应提供本协议；否则无须提供。</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Cs w:val="21"/>
          <w:highlight w:val="none"/>
        </w:rPr>
        <w:t>2、本协议中的供应商代表如果不是竞争性谈判须知中定义的“单位负责人”，则还必须提供“单位负责人授权书”。</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Cs w:val="21"/>
          <w:highlight w:val="none"/>
        </w:rPr>
        <w:t>3、若谈判文件规定接受联合体形式且供应商为联合体的，纸质响应文件正本中的本协议应为原件。</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20"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附件3-1</w:t>
      </w: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         </w:t>
      </w:r>
      <w:r>
        <w:rPr>
          <w:rFonts w:ascii="宋体" w:hAnsi="宋体" w:eastAsia="宋体" w:cs="宋体"/>
          <w:b/>
          <w:bCs/>
          <w:kern w:val="0"/>
          <w:sz w:val="24"/>
          <w:szCs w:val="24"/>
          <w:highlight w:val="none"/>
        </w:rPr>
        <w:t>其它资格证明文件</w:t>
      </w:r>
    </w:p>
    <w:p>
      <w:pPr>
        <w:widowControl/>
        <w:spacing w:before="75" w:after="75" w:line="420" w:lineRule="atLeast"/>
        <w:jc w:val="center"/>
        <w:rPr>
          <w:rFonts w:ascii="宋体" w:hAnsi="宋体" w:eastAsia="宋体" w:cs="宋体"/>
          <w:kern w:val="0"/>
          <w:sz w:val="24"/>
          <w:szCs w:val="24"/>
          <w:highlight w:val="none"/>
        </w:rPr>
      </w:pPr>
      <w:r>
        <w:rPr>
          <w:rFonts w:ascii="宋体" w:hAnsi="宋体" w:eastAsia="宋体" w:cs="宋体"/>
          <w:b/>
          <w:bCs/>
          <w:kern w:val="0"/>
          <w:sz w:val="24"/>
          <w:szCs w:val="24"/>
          <w:highlight w:val="none"/>
        </w:rPr>
        <w:t>（</w:t>
      </w:r>
      <w:r>
        <w:rPr>
          <w:rFonts w:hint="eastAsia" w:ascii="宋体" w:hAnsi="宋体" w:eastAsia="宋体" w:cs="宋体"/>
          <w:b/>
          <w:bCs/>
          <w:kern w:val="0"/>
          <w:sz w:val="24"/>
          <w:szCs w:val="24"/>
          <w:highlight w:val="none"/>
        </w:rPr>
        <w:t>若有</w:t>
      </w:r>
      <w:r>
        <w:rPr>
          <w:rFonts w:ascii="宋体" w:hAnsi="宋体" w:eastAsia="宋体" w:cs="宋体"/>
          <w:b/>
          <w:bCs/>
          <w:kern w:val="0"/>
          <w:sz w:val="24"/>
          <w:szCs w:val="24"/>
          <w:highlight w:val="none"/>
        </w:rPr>
        <w:t>）</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2、若谈判文件规定接受联合体形式且供应商为联合体的，涉及联合体成员的其它资格证明文件在此处提供相关证明材料，并加盖供应商单位公章。</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（全称并加盖公章）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附件4        </w:t>
      </w:r>
      <w:r>
        <w:rPr>
          <w:rFonts w:ascii="宋体" w:hAnsi="宋体" w:eastAsia="宋体" w:cs="宋体"/>
          <w:b/>
          <w:bCs/>
          <w:kern w:val="0"/>
          <w:sz w:val="24"/>
          <w:szCs w:val="24"/>
          <w:highlight w:val="none"/>
        </w:rPr>
        <w:t>谈判保证金凭证</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ind w:firstLine="3360"/>
        <w:rPr>
          <w:rFonts w:ascii="宋体" w:hAnsi="宋体" w:eastAsia="宋体" w:cs="宋体"/>
          <w:kern w:val="0"/>
          <w:sz w:val="24"/>
          <w:szCs w:val="24"/>
          <w:highlight w:val="none"/>
        </w:rPr>
      </w:pPr>
      <w:r>
        <w:rPr>
          <w:rFonts w:ascii="宋体" w:hAnsi="宋体" w:eastAsia="宋体" w:cs="宋体"/>
          <w:kern w:val="0"/>
          <w:szCs w:val="21"/>
          <w:highlight w:val="none"/>
        </w:rPr>
        <w:t>编制说明</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Cs w:val="21"/>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Cs w:val="21"/>
          <w:highlight w:val="none"/>
        </w:rPr>
        <w:t>1、在此项下提交的</w:t>
      </w:r>
      <w:r>
        <w:rPr>
          <w:rFonts w:ascii="宋体" w:hAnsi="宋体" w:eastAsia="宋体" w:cs="宋体"/>
          <w:b/>
          <w:bCs/>
          <w:kern w:val="0"/>
          <w:highlight w:val="none"/>
        </w:rPr>
        <w:t>“谈判保证金”</w:t>
      </w:r>
      <w:r>
        <w:rPr>
          <w:rFonts w:ascii="宋体" w:hAnsi="宋体" w:eastAsia="宋体" w:cs="宋体"/>
          <w:kern w:val="0"/>
          <w:szCs w:val="21"/>
          <w:highlight w:val="none"/>
        </w:rPr>
        <w:t>材料可使用转账凭证复印件。</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Cs w:val="21"/>
          <w:highlight w:val="none"/>
        </w:rPr>
        <w:t>2、谈判保证金是否已提交按照谈判文件规定执行。</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附件5-1  </w:t>
      </w:r>
      <w:r>
        <w:rPr>
          <w:rFonts w:ascii="宋体" w:hAnsi="宋体" w:eastAsia="宋体" w:cs="宋体"/>
          <w:b/>
          <w:bCs/>
          <w:kern w:val="0"/>
          <w:sz w:val="24"/>
          <w:szCs w:val="24"/>
          <w:highlight w:val="none"/>
        </w:rPr>
        <w:t>    技术和服务要求响应表</w:t>
      </w:r>
      <w:r>
        <w:rPr>
          <w:rFonts w:ascii="宋体" w:hAnsi="宋体" w:eastAsia="宋体" w:cs="宋体"/>
          <w:kern w:val="0"/>
          <w:sz w:val="24"/>
          <w:szCs w:val="24"/>
          <w:highlight w:val="none"/>
        </w:rPr>
        <w:t> </w:t>
      </w:r>
    </w:p>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（全称加盖单位公章）  项目编号</w:t>
      </w:r>
      <w:r>
        <w:rPr>
          <w:rFonts w:hint="eastAsia" w:ascii="宋体" w:hAnsi="宋体" w:eastAsia="宋体" w:cs="宋体"/>
          <w:kern w:val="0"/>
          <w:sz w:val="24"/>
          <w:szCs w:val="24"/>
          <w:highlight w:val="none"/>
        </w:rPr>
        <w:t>∶</w:t>
      </w:r>
      <w:r>
        <w:rPr>
          <w:rFonts w:ascii="Times New Roman" w:hAnsi="Times New Roman" w:eastAsia="宋体" w:cs="Times New Roman"/>
          <w:kern w:val="0"/>
          <w:sz w:val="24"/>
          <w:szCs w:val="24"/>
          <w:highlight w:val="none"/>
        </w:rPr>
        <w:t>       </w:t>
      </w:r>
    </w:p>
    <w:tbl>
      <w:tblPr>
        <w:tblStyle w:val="10"/>
        <w:tblW w:w="772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9"/>
        <w:gridCol w:w="1408"/>
        <w:gridCol w:w="2336"/>
        <w:gridCol w:w="2032"/>
        <w:gridCol w:w="12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竞争性谈判文件规定的技术和服务要求</w:t>
            </w:r>
          </w:p>
        </w:tc>
        <w:tc>
          <w:tcPr>
            <w:tcW w:w="200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响应文件响应承诺</w:t>
            </w:r>
          </w:p>
        </w:tc>
        <w:tc>
          <w:tcPr>
            <w:tcW w:w="1175"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bl>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b/>
          <w:bCs/>
          <w:kern w:val="0"/>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b/>
          <w:bCs/>
          <w:kern w:val="0"/>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供应商代表签字： _________________</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附件5-2      </w:t>
      </w:r>
      <w:r>
        <w:rPr>
          <w:rFonts w:ascii="宋体" w:hAnsi="宋体" w:eastAsia="宋体" w:cs="宋体"/>
          <w:b/>
          <w:bCs/>
          <w:kern w:val="0"/>
          <w:sz w:val="24"/>
          <w:szCs w:val="24"/>
          <w:highlight w:val="none"/>
        </w:rPr>
        <w:t> 商务条件和其它事项响应表 </w:t>
      </w:r>
    </w:p>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（全称加盖单位公章）  项目编号</w:t>
      </w:r>
      <w:r>
        <w:rPr>
          <w:rFonts w:hint="eastAsia" w:ascii="宋体" w:hAnsi="宋体" w:eastAsia="宋体" w:cs="宋体"/>
          <w:kern w:val="0"/>
          <w:sz w:val="24"/>
          <w:szCs w:val="24"/>
          <w:highlight w:val="none"/>
        </w:rPr>
        <w:t>∶</w:t>
      </w:r>
      <w:r>
        <w:rPr>
          <w:rFonts w:ascii="Times New Roman" w:hAnsi="Times New Roman" w:eastAsia="宋体" w:cs="Times New Roman"/>
          <w:kern w:val="0"/>
          <w:sz w:val="24"/>
          <w:szCs w:val="24"/>
          <w:highlight w:val="none"/>
        </w:rPr>
        <w:t>       </w:t>
      </w:r>
    </w:p>
    <w:tbl>
      <w:tblPr>
        <w:tblStyle w:val="10"/>
        <w:tblW w:w="768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8"/>
        <w:gridCol w:w="1408"/>
        <w:gridCol w:w="2336"/>
        <w:gridCol w:w="2046"/>
        <w:gridCol w:w="1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竞争性谈判文件规定的商务条件要求</w:t>
            </w:r>
          </w:p>
        </w:tc>
        <w:tc>
          <w:tcPr>
            <w:tcW w:w="201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响应文件响应承诺</w:t>
            </w:r>
          </w:p>
        </w:tc>
        <w:tc>
          <w:tcPr>
            <w:tcW w:w="1117"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bl>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b/>
          <w:bCs/>
          <w:kern w:val="0"/>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b/>
          <w:bCs/>
          <w:kern w:val="0"/>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供应商代表签字： _________________</w:t>
      </w:r>
    </w:p>
    <w:p>
      <w:pPr>
        <w:widowControl/>
        <w:spacing w:before="75" w:after="75" w:line="420"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line="420" w:lineRule="atLeast"/>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附件6    </w:t>
      </w:r>
      <w:r>
        <w:rPr>
          <w:rFonts w:ascii="宋体" w:hAnsi="宋体" w:eastAsia="宋体" w:cs="宋体"/>
          <w:b/>
          <w:bCs/>
          <w:kern w:val="0"/>
          <w:sz w:val="24"/>
          <w:szCs w:val="24"/>
          <w:highlight w:val="none"/>
        </w:rPr>
        <w:t>  相关技术、商务、服务响应承诺及资料</w:t>
      </w:r>
    </w:p>
    <w:p>
      <w:pPr>
        <w:widowControl/>
        <w:spacing w:before="75" w:after="75" w:line="420"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9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说明：    </w:t>
      </w:r>
    </w:p>
    <w:p>
      <w:pPr>
        <w:widowControl/>
        <w:spacing w:before="75" w:after="75" w:line="49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widowControl/>
        <w:spacing w:before="75" w:after="75" w:line="49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2.如果没有特别要求的，供应商根据谈判文件的要求以及特点，提供相关技术、商务、服务响应承诺及资料，格式自拟。</w:t>
      </w:r>
    </w:p>
    <w:p>
      <w:pPr>
        <w:widowControl/>
        <w:spacing w:before="75" w:after="75" w:line="49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line="49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（全称并加盖公章）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w:t>
      </w:r>
    </w:p>
    <w:p>
      <w:pPr>
        <w:widowControl/>
        <w:spacing w:before="75" w:after="75" w:line="420"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6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line="465" w:lineRule="atLeast"/>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附件7     </w:t>
      </w:r>
      <w:r>
        <w:rPr>
          <w:rFonts w:ascii="宋体" w:hAnsi="宋体" w:eastAsia="宋体" w:cs="宋体"/>
          <w:b/>
          <w:bCs/>
          <w:kern w:val="0"/>
          <w:sz w:val="24"/>
          <w:szCs w:val="24"/>
          <w:highlight w:val="none"/>
        </w:rPr>
        <w:t>供应商提交符合政府采购政策的证明材料</w:t>
      </w:r>
    </w:p>
    <w:p>
      <w:pPr>
        <w:widowControl/>
        <w:spacing w:before="75" w:after="75" w:line="420"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附件7-1-1        </w:t>
      </w:r>
      <w:r>
        <w:rPr>
          <w:rFonts w:ascii="宋体" w:hAnsi="宋体" w:eastAsia="宋体" w:cs="宋体"/>
          <w:b/>
          <w:bCs/>
          <w:kern w:val="0"/>
          <w:sz w:val="24"/>
          <w:szCs w:val="24"/>
          <w:highlight w:val="none"/>
        </w:rPr>
        <w:t>中小企业声明函（</w:t>
      </w:r>
      <w:r>
        <w:rPr>
          <w:rFonts w:hint="eastAsia" w:ascii="宋体" w:hAnsi="宋体" w:eastAsia="宋体" w:cs="宋体"/>
          <w:b/>
          <w:bCs/>
          <w:kern w:val="0"/>
          <w:sz w:val="24"/>
          <w:szCs w:val="24"/>
          <w:highlight w:val="none"/>
        </w:rPr>
        <w:t>若有</w:t>
      </w:r>
      <w:r>
        <w:rPr>
          <w:rFonts w:ascii="宋体" w:hAnsi="宋体" w:eastAsia="宋体" w:cs="宋体"/>
          <w:b/>
          <w:bCs/>
          <w:kern w:val="0"/>
          <w:sz w:val="24"/>
          <w:szCs w:val="24"/>
          <w:highlight w:val="none"/>
        </w:rPr>
        <w:t>）</w:t>
      </w:r>
    </w:p>
    <w:p>
      <w:pPr>
        <w:widowControl/>
        <w:spacing w:before="75" w:after="75" w:line="31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315" w:lineRule="atLeast"/>
        <w:ind w:firstLine="480"/>
        <w:rPr>
          <w:rFonts w:ascii="宋体" w:hAnsi="宋体" w:eastAsia="宋体" w:cs="宋体"/>
          <w:kern w:val="0"/>
          <w:sz w:val="24"/>
          <w:szCs w:val="24"/>
          <w:highlight w:val="none"/>
        </w:rPr>
      </w:pPr>
      <w:r>
        <w:rPr>
          <w:rFonts w:ascii="宋体" w:hAnsi="宋体" w:eastAsia="宋体" w:cs="宋体"/>
          <w:kern w:val="0"/>
          <w:sz w:val="24"/>
          <w:szCs w:val="24"/>
          <w:highlight w:val="none"/>
        </w:rPr>
        <w:t>本公司郑重声明，根据《政府采购促进中小企业发展暂行办法》（财库〔2011〕181号）的规定，本公司为                （请填写：中型、小型、微型）企业。即，本公司同时满足以下条件：</w:t>
      </w:r>
    </w:p>
    <w:p>
      <w:pPr>
        <w:widowControl/>
        <w:spacing w:before="75" w:after="75" w:line="31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　　1.根据《工业和信息化部、国家统计局、国家发展和改革委员会、财政部关于印发中小企业划型标准规定的通知》（工信部联企业〔2011〕300号）规定的划分标准，本公司为           （请填写：中型、小型、微型）企业。</w:t>
      </w:r>
    </w:p>
    <w:p>
      <w:pPr>
        <w:widowControl/>
        <w:spacing w:before="75" w:after="75" w:line="31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　　2.本公司参加         单位的               项目采购活动提供本企业制造的货物，由本企业承担工程、提供服务，或者提供其他              （请填写：中型、小型、微型）企业制造的货物。本条所称货物不包括使用大型企业注册商标的货物。</w:t>
      </w:r>
    </w:p>
    <w:p>
      <w:pPr>
        <w:widowControl/>
        <w:spacing w:before="75" w:after="75" w:line="31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　　本公司对上述声明的真实性负责。如有虚假，将依法承担相应责任。</w:t>
      </w:r>
    </w:p>
    <w:p>
      <w:pPr>
        <w:widowControl/>
        <w:spacing w:before="75" w:after="75" w:line="31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（全称并加盖公章）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注：需另附下表</w:t>
      </w:r>
    </w:p>
    <w:tbl>
      <w:tblPr>
        <w:tblStyle w:val="10"/>
        <w:tblW w:w="8807"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44"/>
        <w:gridCol w:w="748"/>
        <w:gridCol w:w="749"/>
        <w:gridCol w:w="749"/>
        <w:gridCol w:w="749"/>
        <w:gridCol w:w="749"/>
        <w:gridCol w:w="1143"/>
        <w:gridCol w:w="277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099"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highlight w:val="none"/>
              </w:rPr>
            </w:pPr>
            <w:r>
              <w:rPr>
                <w:rFonts w:ascii="宋体" w:hAnsi="宋体" w:eastAsia="宋体" w:cs="宋体"/>
                <w:kern w:val="0"/>
                <w:szCs w:val="21"/>
                <w:highlight w:val="none"/>
              </w:rPr>
              <w:t>合同包/品目号</w:t>
            </w:r>
          </w:p>
        </w:tc>
        <w:tc>
          <w:tcPr>
            <w:tcW w:w="71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highlight w:val="none"/>
              </w:rPr>
            </w:pPr>
            <w:r>
              <w:rPr>
                <w:rFonts w:ascii="宋体" w:hAnsi="宋体" w:eastAsia="宋体" w:cs="宋体"/>
                <w:kern w:val="0"/>
                <w:szCs w:val="21"/>
                <w:highlight w:val="none"/>
              </w:rPr>
              <w:t>响应产品名称</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highlight w:val="none"/>
              </w:rPr>
            </w:pPr>
            <w:r>
              <w:rPr>
                <w:rFonts w:ascii="宋体" w:hAnsi="宋体" w:eastAsia="宋体" w:cs="宋体"/>
                <w:kern w:val="0"/>
                <w:szCs w:val="21"/>
                <w:highlight w:val="none"/>
              </w:rPr>
              <w:t>品牌型号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highlight w:val="none"/>
              </w:rPr>
            </w:pPr>
            <w:r>
              <w:rPr>
                <w:rFonts w:ascii="宋体" w:hAnsi="宋体" w:eastAsia="宋体" w:cs="宋体"/>
                <w:kern w:val="0"/>
                <w:szCs w:val="21"/>
                <w:highlight w:val="none"/>
              </w:rPr>
              <w:t>数量</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highlight w:val="none"/>
              </w:rPr>
            </w:pPr>
            <w:r>
              <w:rPr>
                <w:rFonts w:ascii="宋体" w:hAnsi="宋体" w:eastAsia="宋体" w:cs="宋体"/>
                <w:kern w:val="0"/>
                <w:szCs w:val="21"/>
                <w:highlight w:val="none"/>
              </w:rPr>
              <w:t>最后报价单价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highlight w:val="none"/>
              </w:rPr>
            </w:pPr>
            <w:r>
              <w:rPr>
                <w:rFonts w:ascii="宋体" w:hAnsi="宋体" w:eastAsia="宋体" w:cs="宋体"/>
                <w:kern w:val="0"/>
                <w:szCs w:val="21"/>
                <w:highlight w:val="none"/>
              </w:rPr>
              <w:t>最后报价总价</w:t>
            </w:r>
          </w:p>
        </w:tc>
        <w:tc>
          <w:tcPr>
            <w:tcW w:w="111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highlight w:val="none"/>
              </w:rPr>
            </w:pPr>
            <w:r>
              <w:rPr>
                <w:rFonts w:ascii="宋体" w:hAnsi="宋体" w:eastAsia="宋体" w:cs="宋体"/>
                <w:kern w:val="0"/>
                <w:szCs w:val="21"/>
                <w:highlight w:val="none"/>
              </w:rPr>
              <w:t>响应产品的生产或供应企业</w:t>
            </w:r>
          </w:p>
        </w:tc>
        <w:tc>
          <w:tcPr>
            <w:tcW w:w="273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highlight w:val="none"/>
              </w:rPr>
            </w:pPr>
            <w:r>
              <w:rPr>
                <w:rFonts w:ascii="宋体" w:hAnsi="宋体" w:eastAsia="宋体" w:cs="宋体"/>
                <w:kern w:val="0"/>
                <w:szCs w:val="21"/>
                <w:highlight w:val="none"/>
              </w:rPr>
              <w:t>生产供应企业的规模类型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1099"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71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1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273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highlight w:val="none"/>
              </w:rPr>
            </w:pPr>
            <w:r>
              <w:rPr>
                <w:rFonts w:ascii="宋体" w:hAnsi="宋体" w:eastAsia="宋体" w:cs="宋体"/>
                <w:kern w:val="0"/>
                <w:szCs w:val="21"/>
                <w:highlight w:val="none"/>
              </w:rPr>
              <w:t>所报价产品的生产或供应企业类型为：     （</w:t>
            </w:r>
            <w:r>
              <w:rPr>
                <w:rFonts w:ascii="Calibri" w:hAnsi="Calibri" w:eastAsia="宋体" w:cs="宋体"/>
                <w:kern w:val="0"/>
                <w:szCs w:val="21"/>
                <w:highlight w:val="none"/>
              </w:rPr>
              <w:t>请填写</w:t>
            </w:r>
            <w:r>
              <w:rPr>
                <w:rFonts w:ascii="宋体" w:hAnsi="宋体" w:eastAsia="宋体" w:cs="宋体"/>
                <w:kern w:val="0"/>
                <w:szCs w:val="21"/>
                <w:highlight w:val="none"/>
              </w:rPr>
              <w:t>中型、小型、微型企业）</w:t>
            </w:r>
          </w:p>
        </w:tc>
      </w:tr>
    </w:tbl>
    <w:p>
      <w:pPr>
        <w:widowControl/>
        <w:spacing w:before="75" w:after="75" w:line="420" w:lineRule="atLeast"/>
        <w:ind w:firstLine="480"/>
        <w:jc w:val="left"/>
        <w:rPr>
          <w:rFonts w:ascii="宋体" w:hAnsi="宋体" w:eastAsia="宋体" w:cs="宋体"/>
          <w:kern w:val="0"/>
          <w:sz w:val="24"/>
          <w:szCs w:val="24"/>
          <w:highlight w:val="none"/>
        </w:rPr>
      </w:pPr>
      <w:r>
        <w:rPr>
          <w:rFonts w:ascii="宋体" w:hAnsi="宋体" w:eastAsia="宋体" w:cs="宋体"/>
          <w:kern w:val="0"/>
          <w:szCs w:val="21"/>
          <w:highlight w:val="none"/>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widowControl/>
        <w:spacing w:before="75" w:after="75" w:line="420" w:lineRule="atLeast"/>
        <w:ind w:firstLine="480"/>
        <w:jc w:val="left"/>
        <w:rPr>
          <w:rFonts w:ascii="宋体" w:hAnsi="宋体" w:eastAsia="宋体" w:cs="宋体"/>
          <w:kern w:val="0"/>
          <w:sz w:val="24"/>
          <w:szCs w:val="24"/>
          <w:highlight w:val="none"/>
        </w:rPr>
      </w:pPr>
      <w:r>
        <w:rPr>
          <w:rFonts w:ascii="宋体" w:hAnsi="宋体" w:eastAsia="宋体" w:cs="宋体"/>
          <w:kern w:val="0"/>
          <w:szCs w:val="21"/>
          <w:highlight w:val="none"/>
        </w:rPr>
        <w:t>（2）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widowControl/>
        <w:spacing w:before="75" w:after="75" w:line="420" w:lineRule="atLeast"/>
        <w:ind w:firstLine="480"/>
        <w:jc w:val="left"/>
        <w:rPr>
          <w:rFonts w:ascii="宋体" w:hAnsi="宋体" w:eastAsia="宋体" w:cs="宋体"/>
          <w:kern w:val="0"/>
          <w:sz w:val="24"/>
          <w:szCs w:val="24"/>
          <w:highlight w:val="none"/>
        </w:rPr>
      </w:pPr>
      <w:r>
        <w:rPr>
          <w:rFonts w:ascii="宋体" w:hAnsi="宋体" w:eastAsia="宋体" w:cs="宋体"/>
          <w:kern w:val="0"/>
          <w:szCs w:val="21"/>
          <w:highlight w:val="none"/>
        </w:rPr>
        <w:t>（3）供应商为监狱企业的，可不填写本声明函。根据其提供的由省级以上监狱管理局、戒毒管理局（含新疆生产建设兵团）出具的属于监狱企业的证明文件进行认定，监狱企业视同小型、微型企业。</w:t>
      </w:r>
      <w:r>
        <w:rPr>
          <w:rFonts w:ascii="宋体" w:hAnsi="宋体" w:eastAsia="宋体" w:cs="宋体"/>
          <w:kern w:val="0"/>
          <w:sz w:val="24"/>
          <w:szCs w:val="24"/>
          <w:highlight w:val="none"/>
        </w:rPr>
        <w:t> </w:t>
      </w:r>
    </w:p>
    <w:p>
      <w:pPr>
        <w:widowControl/>
        <w:spacing w:before="75" w:after="75" w:line="420" w:lineRule="atLeast"/>
        <w:ind w:firstLine="480"/>
        <w:jc w:val="left"/>
        <w:rPr>
          <w:rFonts w:ascii="宋体" w:hAnsi="宋体" w:eastAsia="宋体" w:cs="宋体"/>
          <w:kern w:val="0"/>
          <w:sz w:val="24"/>
          <w:szCs w:val="24"/>
          <w:highlight w:val="none"/>
        </w:rPr>
      </w:pPr>
      <w:r>
        <w:rPr>
          <w:rFonts w:ascii="宋体" w:hAnsi="宋体" w:eastAsia="宋体" w:cs="宋体"/>
          <w:kern w:val="0"/>
          <w:szCs w:val="21"/>
          <w:highlight w:val="none"/>
        </w:rPr>
        <w:t>（4）供应商为残疾人福利性单位的，可不填写本声明函，根据其提供的《残疾人福利性单位声明函》（格式附后）进行认定，残疾人福利性单位视同小型、微型企业。</w:t>
      </w:r>
    </w:p>
    <w:p>
      <w:pPr>
        <w:widowControl/>
        <w:spacing w:before="75" w:after="75"/>
        <w:jc w:val="center"/>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附件7-1-2</w:t>
      </w:r>
    </w:p>
    <w:p>
      <w:pPr>
        <w:widowControl/>
        <w:spacing w:before="75" w:after="75"/>
        <w:jc w:val="center"/>
        <w:outlineLvl w:val="1"/>
        <w:rPr>
          <w:rFonts w:ascii="宋体" w:hAnsi="宋体" w:eastAsia="宋体" w:cs="宋体"/>
          <w:kern w:val="0"/>
          <w:sz w:val="24"/>
          <w:szCs w:val="24"/>
          <w:highlight w:val="none"/>
        </w:rPr>
      </w:pPr>
      <w:r>
        <w:rPr>
          <w:rFonts w:ascii="宋体" w:hAnsi="宋体" w:eastAsia="宋体" w:cs="宋体"/>
          <w:b/>
          <w:bCs/>
          <w:kern w:val="0"/>
          <w:sz w:val="24"/>
          <w:szCs w:val="24"/>
          <w:highlight w:val="none"/>
        </w:rPr>
        <w:t>残疾人福利性单位声明函（</w:t>
      </w:r>
      <w:r>
        <w:rPr>
          <w:rFonts w:hint="eastAsia" w:ascii="宋体" w:hAnsi="宋体" w:eastAsia="宋体" w:cs="宋体"/>
          <w:b/>
          <w:bCs/>
          <w:kern w:val="0"/>
          <w:sz w:val="24"/>
          <w:szCs w:val="24"/>
          <w:highlight w:val="none"/>
        </w:rPr>
        <w:t>若有</w:t>
      </w:r>
      <w:r>
        <w:rPr>
          <w:rFonts w:ascii="宋体" w:hAnsi="宋体" w:eastAsia="宋体" w:cs="宋体"/>
          <w:b/>
          <w:bCs/>
          <w:kern w:val="0"/>
          <w:sz w:val="24"/>
          <w:szCs w:val="24"/>
          <w:highlight w:val="none"/>
        </w:rPr>
        <w:t>）</w:t>
      </w:r>
    </w:p>
    <w:p>
      <w:pPr>
        <w:widowControl/>
        <w:spacing w:before="75" w:after="75"/>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b/>
          <w:bCs/>
          <w:kern w:val="0"/>
          <w:sz w:val="24"/>
          <w:szCs w:val="24"/>
          <w:highlight w:val="none"/>
        </w:rPr>
        <w:t> </w:t>
      </w:r>
    </w:p>
    <w:p>
      <w:pPr>
        <w:widowControl/>
        <w:spacing w:before="75" w:after="75" w:line="435" w:lineRule="atLeast"/>
        <w:ind w:firstLine="420"/>
        <w:rPr>
          <w:rFonts w:ascii="宋体" w:hAnsi="宋体" w:eastAsia="宋体" w:cs="宋体"/>
          <w:kern w:val="0"/>
          <w:sz w:val="24"/>
          <w:szCs w:val="24"/>
          <w:highlight w:val="none"/>
        </w:rPr>
      </w:pPr>
      <w:r>
        <w:rPr>
          <w:rFonts w:ascii="宋体" w:hAnsi="宋体" w:eastAsia="宋体" w:cs="宋体"/>
          <w:kern w:val="0"/>
          <w:sz w:val="24"/>
          <w:szCs w:val="24"/>
          <w:highlight w:val="none"/>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widowControl/>
        <w:spacing w:before="75" w:after="75" w:line="435" w:lineRule="atLeast"/>
        <w:ind w:firstLine="420"/>
        <w:rPr>
          <w:rFonts w:ascii="宋体" w:hAnsi="宋体" w:eastAsia="宋体" w:cs="宋体"/>
          <w:kern w:val="0"/>
          <w:sz w:val="24"/>
          <w:szCs w:val="24"/>
          <w:highlight w:val="none"/>
        </w:rPr>
      </w:pPr>
      <w:r>
        <w:rPr>
          <w:rFonts w:ascii="宋体" w:hAnsi="宋体" w:eastAsia="宋体" w:cs="宋体"/>
          <w:kern w:val="0"/>
          <w:sz w:val="24"/>
          <w:szCs w:val="24"/>
          <w:highlight w:val="none"/>
        </w:rPr>
        <w:t>（ ）提供本供应商制造的（填写“所投合同包、品目号”）货物，</w:t>
      </w:r>
    </w:p>
    <w:p>
      <w:pPr>
        <w:widowControl/>
        <w:spacing w:before="75" w:after="75" w:line="435" w:lineRule="atLeast"/>
        <w:ind w:firstLine="420"/>
        <w:rPr>
          <w:rFonts w:ascii="宋体" w:hAnsi="宋体" w:eastAsia="宋体" w:cs="宋体"/>
          <w:kern w:val="0"/>
          <w:sz w:val="24"/>
          <w:szCs w:val="24"/>
          <w:highlight w:val="none"/>
        </w:rPr>
      </w:pPr>
      <w:r>
        <w:rPr>
          <w:rFonts w:ascii="宋体" w:hAnsi="宋体" w:eastAsia="宋体" w:cs="宋体"/>
          <w:kern w:val="0"/>
          <w:sz w:val="24"/>
          <w:szCs w:val="24"/>
          <w:highlight w:val="none"/>
        </w:rPr>
        <w:t>（ ）由本供应商承担的（填写“所投合同包、品目号”）工程，</w:t>
      </w:r>
    </w:p>
    <w:p>
      <w:pPr>
        <w:widowControl/>
        <w:spacing w:before="75" w:after="75" w:line="435" w:lineRule="atLeast"/>
        <w:ind w:firstLine="420"/>
        <w:rPr>
          <w:rFonts w:ascii="宋体" w:hAnsi="宋体" w:eastAsia="宋体" w:cs="宋体"/>
          <w:kern w:val="0"/>
          <w:sz w:val="24"/>
          <w:szCs w:val="24"/>
          <w:highlight w:val="none"/>
        </w:rPr>
      </w:pPr>
      <w:r>
        <w:rPr>
          <w:rFonts w:ascii="宋体" w:hAnsi="宋体" w:eastAsia="宋体" w:cs="宋体"/>
          <w:kern w:val="0"/>
          <w:sz w:val="24"/>
          <w:szCs w:val="24"/>
          <w:highlight w:val="none"/>
        </w:rPr>
        <w:t>（ ）由本供应商提供的（填写“所投合同包、品目号”）服务；或</w:t>
      </w:r>
    </w:p>
    <w:p>
      <w:pPr>
        <w:widowControl/>
        <w:spacing w:before="75" w:after="75" w:line="435" w:lineRule="atLeast"/>
        <w:ind w:firstLine="420"/>
        <w:rPr>
          <w:rFonts w:ascii="宋体" w:hAnsi="宋体" w:eastAsia="宋体" w:cs="宋体"/>
          <w:kern w:val="0"/>
          <w:sz w:val="24"/>
          <w:szCs w:val="24"/>
          <w:highlight w:val="none"/>
        </w:rPr>
      </w:pPr>
      <w:r>
        <w:rPr>
          <w:rFonts w:ascii="宋体" w:hAnsi="宋体" w:eastAsia="宋体" w:cs="宋体"/>
          <w:kern w:val="0"/>
          <w:sz w:val="24"/>
          <w:szCs w:val="24"/>
          <w:highlight w:val="none"/>
        </w:rPr>
        <w:t>（ ）提供其他残疾人福利性单位制造的（填写“所投合同包、品目号”）货物（不包括使用非残疾人福利性单位注册商标的货物）。</w:t>
      </w:r>
    </w:p>
    <w:p>
      <w:pPr>
        <w:widowControl/>
        <w:spacing w:before="75" w:after="75" w:line="435" w:lineRule="atLeast"/>
        <w:ind w:firstLine="420"/>
        <w:rPr>
          <w:rFonts w:ascii="宋体" w:hAnsi="宋体" w:eastAsia="宋体" w:cs="宋体"/>
          <w:kern w:val="0"/>
          <w:sz w:val="24"/>
          <w:szCs w:val="24"/>
          <w:highlight w:val="none"/>
        </w:rPr>
      </w:pPr>
      <w:r>
        <w:rPr>
          <w:rFonts w:ascii="宋体" w:hAnsi="宋体" w:eastAsia="宋体" w:cs="宋体"/>
          <w:kern w:val="0"/>
          <w:sz w:val="24"/>
          <w:szCs w:val="24"/>
          <w:highlight w:val="none"/>
        </w:rPr>
        <w:t>本供应商对上述声明的真实性负责。如有虚假，将依法承担相应责任。</w:t>
      </w:r>
    </w:p>
    <w:p>
      <w:pPr>
        <w:widowControl/>
        <w:spacing w:before="75" w:after="75" w:line="435" w:lineRule="atLeast"/>
        <w:ind w:firstLine="420"/>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（全称并加盖公章）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w:t>
      </w:r>
    </w:p>
    <w:p>
      <w:pPr>
        <w:widowControl/>
        <w:spacing w:before="75" w:after="75" w:line="420" w:lineRule="atLeast"/>
        <w:ind w:firstLine="480"/>
        <w:jc w:val="left"/>
        <w:rPr>
          <w:rFonts w:ascii="宋体" w:hAnsi="宋体" w:eastAsia="宋体" w:cs="宋体"/>
          <w:kern w:val="0"/>
          <w:sz w:val="24"/>
          <w:szCs w:val="24"/>
          <w:highlight w:val="none"/>
        </w:rPr>
      </w:pPr>
      <w:r>
        <w:rPr>
          <w:rFonts w:ascii="宋体" w:hAnsi="宋体" w:eastAsia="宋体" w:cs="宋体"/>
          <w:kern w:val="0"/>
          <w:szCs w:val="21"/>
          <w:highlight w:val="none"/>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widowControl/>
        <w:spacing w:before="75" w:after="75" w:line="420" w:lineRule="atLeast"/>
        <w:ind w:firstLine="480"/>
        <w:jc w:val="left"/>
        <w:rPr>
          <w:rFonts w:ascii="宋体" w:hAnsi="宋体" w:eastAsia="宋体" w:cs="宋体"/>
          <w:kern w:val="0"/>
          <w:sz w:val="24"/>
          <w:szCs w:val="24"/>
          <w:highlight w:val="none"/>
        </w:rPr>
      </w:pPr>
      <w:r>
        <w:rPr>
          <w:rFonts w:ascii="宋体" w:hAnsi="宋体" w:eastAsia="宋体" w:cs="宋体"/>
          <w:kern w:val="0"/>
          <w:szCs w:val="21"/>
          <w:highlight w:val="none"/>
        </w:rPr>
        <w:t>（2）请供应商按照实际情况编制填写本声明函，并在相应的（）中打“√”。</w:t>
      </w:r>
    </w:p>
    <w:p>
      <w:pPr>
        <w:widowControl/>
        <w:spacing w:before="75" w:after="75" w:line="420" w:lineRule="atLeast"/>
        <w:ind w:firstLine="480"/>
        <w:jc w:val="left"/>
        <w:rPr>
          <w:rFonts w:ascii="宋体" w:hAnsi="宋体" w:eastAsia="宋体" w:cs="宋体"/>
          <w:kern w:val="0"/>
          <w:sz w:val="24"/>
          <w:szCs w:val="24"/>
          <w:highlight w:val="none"/>
        </w:rPr>
      </w:pPr>
      <w:r>
        <w:rPr>
          <w:rFonts w:ascii="宋体" w:hAnsi="宋体" w:eastAsia="宋体" w:cs="宋体"/>
          <w:kern w:val="0"/>
          <w:szCs w:val="21"/>
          <w:highlight w:val="none"/>
        </w:rPr>
        <w:t>（3）纸质响应文件正本中的本声明函（若有）应为原件。</w:t>
      </w:r>
    </w:p>
    <w:p>
      <w:pPr>
        <w:widowControl/>
        <w:spacing w:before="75" w:after="75" w:line="420" w:lineRule="atLeast"/>
        <w:ind w:firstLine="480"/>
        <w:jc w:val="left"/>
        <w:rPr>
          <w:rFonts w:ascii="宋体" w:hAnsi="宋体" w:eastAsia="宋体" w:cs="宋体"/>
          <w:kern w:val="0"/>
          <w:sz w:val="24"/>
          <w:szCs w:val="24"/>
          <w:highlight w:val="none"/>
        </w:rPr>
      </w:pPr>
      <w:r>
        <w:rPr>
          <w:rFonts w:ascii="宋体" w:hAnsi="宋体" w:eastAsia="宋体" w:cs="宋体"/>
          <w:kern w:val="0"/>
          <w:szCs w:val="21"/>
          <w:highlight w:val="none"/>
        </w:rPr>
        <w:t>（4）若《残疾人福利性单位声明函》内容不真实，视为提供虚假材料。</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center"/>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jc w:val="center"/>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附件7-2</w:t>
      </w:r>
      <w:r>
        <w:rPr>
          <w:rFonts w:ascii="宋体" w:hAnsi="宋体" w:eastAsia="宋体" w:cs="宋体"/>
          <w:b/>
          <w:bCs/>
          <w:kern w:val="0"/>
          <w:sz w:val="24"/>
          <w:szCs w:val="24"/>
          <w:highlight w:val="none"/>
        </w:rPr>
        <w:t>优先类节能产品、环境标志产品价格扣除证明材料（</w:t>
      </w:r>
      <w:r>
        <w:rPr>
          <w:rFonts w:hint="eastAsia" w:ascii="宋体" w:hAnsi="宋体" w:eastAsia="宋体" w:cs="宋体"/>
          <w:b/>
          <w:bCs/>
          <w:kern w:val="0"/>
          <w:sz w:val="24"/>
          <w:szCs w:val="24"/>
          <w:highlight w:val="none"/>
        </w:rPr>
        <w:t>若有</w:t>
      </w:r>
      <w:r>
        <w:rPr>
          <w:rFonts w:ascii="宋体" w:hAnsi="宋体" w:eastAsia="宋体" w:cs="宋体"/>
          <w:b/>
          <w:bCs/>
          <w:kern w:val="0"/>
          <w:sz w:val="24"/>
          <w:szCs w:val="24"/>
          <w:highlight w:val="none"/>
        </w:rPr>
        <w:t>）</w:t>
      </w:r>
    </w:p>
    <w:p>
      <w:pPr>
        <w:widowControl/>
        <w:spacing w:before="75" w:after="75"/>
        <w:rPr>
          <w:rFonts w:ascii="宋体" w:hAnsi="宋体" w:eastAsia="宋体" w:cs="宋体"/>
          <w:kern w:val="0"/>
          <w:sz w:val="24"/>
          <w:szCs w:val="24"/>
          <w:highlight w:val="none"/>
        </w:rPr>
      </w:pPr>
      <w:r>
        <w:rPr>
          <w:rFonts w:ascii="宋体" w:hAnsi="宋体" w:eastAsia="宋体" w:cs="宋体"/>
          <w:kern w:val="0"/>
          <w:sz w:val="24"/>
          <w:szCs w:val="24"/>
          <w:highlight w:val="none"/>
        </w:rPr>
        <w:t>              </w:t>
      </w:r>
    </w:p>
    <w:tbl>
      <w:tblPr>
        <w:tblStyle w:val="10"/>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4"/>
        <w:gridCol w:w="1211"/>
        <w:gridCol w:w="1207"/>
        <w:gridCol w:w="1217"/>
        <w:gridCol w:w="1207"/>
        <w:gridCol w:w="121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7251" w:type="dxa"/>
            <w:gridSpan w:val="6"/>
            <w:tcMar>
              <w:top w:w="0" w:type="dxa"/>
              <w:left w:w="105" w:type="dxa"/>
              <w:bottom w:w="0" w:type="dxa"/>
              <w:right w:w="105" w:type="dxa"/>
            </w:tcMar>
            <w:vAlign w:val="center"/>
          </w:tcPr>
          <w:p>
            <w:pPr>
              <w:widowControl/>
              <w:jc w:val="center"/>
              <w:rPr>
                <w:rFonts w:ascii="宋体" w:hAnsi="宋体" w:eastAsia="宋体" w:cs="宋体"/>
                <w:kern w:val="0"/>
                <w:sz w:val="24"/>
                <w:szCs w:val="24"/>
                <w:highlight w:val="none"/>
              </w:rPr>
            </w:pPr>
            <w:r>
              <w:rPr>
                <w:rFonts w:ascii="宋体" w:hAnsi="宋体" w:eastAsia="宋体" w:cs="宋体"/>
                <w:kern w:val="0"/>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kern w:val="0"/>
                <w:sz w:val="24"/>
                <w:szCs w:val="24"/>
                <w:highlight w:val="none"/>
              </w:rPr>
            </w:pPr>
            <w:r>
              <w:rPr>
                <w:rFonts w:ascii="宋体" w:hAnsi="宋体" w:eastAsia="宋体" w:cs="宋体"/>
                <w:kern w:val="0"/>
                <w:szCs w:val="21"/>
                <w:highlight w:val="none"/>
              </w:rPr>
              <w:t>合同包</w:t>
            </w:r>
          </w:p>
        </w:tc>
        <w:tc>
          <w:tcPr>
            <w:tcW w:w="1181" w:type="dxa"/>
            <w:tcMar>
              <w:top w:w="0" w:type="dxa"/>
              <w:left w:w="105" w:type="dxa"/>
              <w:bottom w:w="0" w:type="dxa"/>
              <w:right w:w="105" w:type="dxa"/>
            </w:tcMar>
            <w:vAlign w:val="center"/>
          </w:tcPr>
          <w:p>
            <w:pPr>
              <w:widowControl/>
              <w:jc w:val="center"/>
              <w:rPr>
                <w:rFonts w:ascii="宋体" w:hAnsi="宋体" w:eastAsia="宋体" w:cs="宋体"/>
                <w:kern w:val="0"/>
                <w:sz w:val="24"/>
                <w:szCs w:val="24"/>
                <w:highlight w:val="none"/>
              </w:rPr>
            </w:pPr>
            <w:r>
              <w:rPr>
                <w:rFonts w:ascii="宋体" w:hAnsi="宋体" w:eastAsia="宋体" w:cs="宋体"/>
                <w:kern w:val="0"/>
                <w:szCs w:val="21"/>
                <w:highlight w:val="none"/>
              </w:rPr>
              <w:t>品目号</w:t>
            </w:r>
          </w:p>
        </w:tc>
        <w:tc>
          <w:tcPr>
            <w:tcW w:w="1177" w:type="dxa"/>
            <w:tcMar>
              <w:top w:w="0" w:type="dxa"/>
              <w:left w:w="105" w:type="dxa"/>
              <w:bottom w:w="0" w:type="dxa"/>
              <w:right w:w="105" w:type="dxa"/>
            </w:tcMar>
            <w:vAlign w:val="center"/>
          </w:tcPr>
          <w:p>
            <w:pPr>
              <w:widowControl/>
              <w:jc w:val="center"/>
              <w:rPr>
                <w:rFonts w:ascii="宋体" w:hAnsi="宋体" w:eastAsia="宋体" w:cs="宋体"/>
                <w:kern w:val="0"/>
                <w:sz w:val="24"/>
                <w:szCs w:val="24"/>
                <w:highlight w:val="none"/>
              </w:rPr>
            </w:pPr>
            <w:r>
              <w:rPr>
                <w:rFonts w:ascii="宋体" w:hAnsi="宋体" w:eastAsia="宋体" w:cs="宋体"/>
                <w:kern w:val="0"/>
                <w:szCs w:val="21"/>
                <w:highlight w:val="none"/>
              </w:rPr>
              <w:t>产品名称</w:t>
            </w:r>
          </w:p>
        </w:tc>
        <w:tc>
          <w:tcPr>
            <w:tcW w:w="1187" w:type="dxa"/>
            <w:tcMar>
              <w:top w:w="0" w:type="dxa"/>
              <w:left w:w="105" w:type="dxa"/>
              <w:bottom w:w="0" w:type="dxa"/>
              <w:right w:w="105" w:type="dxa"/>
            </w:tcMar>
            <w:vAlign w:val="center"/>
          </w:tcPr>
          <w:p>
            <w:pPr>
              <w:widowControl/>
              <w:jc w:val="center"/>
              <w:rPr>
                <w:rFonts w:ascii="宋体" w:hAnsi="宋体" w:eastAsia="宋体" w:cs="宋体"/>
                <w:kern w:val="0"/>
                <w:sz w:val="24"/>
                <w:szCs w:val="24"/>
                <w:highlight w:val="none"/>
              </w:rPr>
            </w:pPr>
            <w:r>
              <w:rPr>
                <w:rFonts w:ascii="宋体" w:hAnsi="宋体" w:eastAsia="宋体" w:cs="宋体"/>
                <w:kern w:val="0"/>
                <w:szCs w:val="21"/>
                <w:highlight w:val="none"/>
              </w:rPr>
              <w:t>最后报价单价</w:t>
            </w:r>
          </w:p>
          <w:p>
            <w:pPr>
              <w:widowControl/>
              <w:jc w:val="center"/>
              <w:rPr>
                <w:rFonts w:ascii="宋体" w:hAnsi="宋体" w:eastAsia="宋体" w:cs="宋体"/>
                <w:kern w:val="0"/>
                <w:sz w:val="24"/>
                <w:szCs w:val="24"/>
                <w:highlight w:val="none"/>
              </w:rPr>
            </w:pPr>
            <w:r>
              <w:rPr>
                <w:rFonts w:ascii="宋体" w:hAnsi="宋体" w:eastAsia="宋体" w:cs="宋体"/>
                <w:kern w:val="0"/>
                <w:szCs w:val="21"/>
                <w:highlight w:val="none"/>
              </w:rPr>
              <w:t>（现场）</w:t>
            </w:r>
          </w:p>
        </w:tc>
        <w:tc>
          <w:tcPr>
            <w:tcW w:w="1177" w:type="dxa"/>
            <w:tcMar>
              <w:top w:w="0" w:type="dxa"/>
              <w:left w:w="105" w:type="dxa"/>
              <w:bottom w:w="0" w:type="dxa"/>
              <w:right w:w="105" w:type="dxa"/>
            </w:tcMar>
            <w:vAlign w:val="center"/>
          </w:tcPr>
          <w:p>
            <w:pPr>
              <w:widowControl/>
              <w:jc w:val="center"/>
              <w:rPr>
                <w:rFonts w:ascii="宋体" w:hAnsi="宋体" w:eastAsia="宋体" w:cs="宋体"/>
                <w:kern w:val="0"/>
                <w:sz w:val="24"/>
                <w:szCs w:val="24"/>
                <w:highlight w:val="none"/>
              </w:rPr>
            </w:pPr>
            <w:r>
              <w:rPr>
                <w:rFonts w:ascii="宋体" w:hAnsi="宋体" w:eastAsia="宋体" w:cs="宋体"/>
                <w:kern w:val="0"/>
                <w:szCs w:val="21"/>
                <w:highlight w:val="none"/>
              </w:rPr>
              <w:t>数量</w:t>
            </w:r>
          </w:p>
        </w:tc>
        <w:tc>
          <w:tcPr>
            <w:tcW w:w="1187" w:type="dxa"/>
            <w:tcMar>
              <w:top w:w="0" w:type="dxa"/>
              <w:left w:w="105" w:type="dxa"/>
              <w:bottom w:w="0" w:type="dxa"/>
              <w:right w:w="105" w:type="dxa"/>
            </w:tcMar>
            <w:vAlign w:val="center"/>
          </w:tcPr>
          <w:p>
            <w:pPr>
              <w:widowControl/>
              <w:jc w:val="center"/>
              <w:rPr>
                <w:rFonts w:ascii="宋体" w:hAnsi="宋体" w:eastAsia="宋体" w:cs="宋体"/>
                <w:kern w:val="0"/>
                <w:sz w:val="24"/>
                <w:szCs w:val="24"/>
                <w:highlight w:val="none"/>
              </w:rPr>
            </w:pPr>
            <w:r>
              <w:rPr>
                <w:rFonts w:ascii="宋体" w:hAnsi="宋体" w:eastAsia="宋体" w:cs="宋体"/>
                <w:kern w:val="0"/>
                <w:szCs w:val="21"/>
                <w:highlight w:val="none"/>
              </w:rPr>
              <w:t>最后报价总价</w:t>
            </w:r>
          </w:p>
          <w:p>
            <w:pPr>
              <w:widowControl/>
              <w:jc w:val="center"/>
              <w:rPr>
                <w:rFonts w:ascii="宋体" w:hAnsi="宋体" w:eastAsia="宋体" w:cs="宋体"/>
                <w:kern w:val="0"/>
                <w:sz w:val="24"/>
                <w:szCs w:val="24"/>
                <w:highlight w:val="none"/>
              </w:rPr>
            </w:pPr>
            <w:r>
              <w:rPr>
                <w:rFonts w:ascii="宋体" w:hAnsi="宋体" w:eastAsia="宋体" w:cs="宋体"/>
                <w:kern w:val="0"/>
                <w:szCs w:val="21"/>
                <w:highlight w:val="none"/>
              </w:rPr>
              <w:t>（现场）</w:t>
            </w:r>
          </w:p>
        </w:tc>
        <w:tc>
          <w:tcPr>
            <w:tcW w:w="1192" w:type="dxa"/>
            <w:tcMar>
              <w:top w:w="0" w:type="dxa"/>
              <w:left w:w="105" w:type="dxa"/>
              <w:bottom w:w="0" w:type="dxa"/>
              <w:right w:w="105" w:type="dxa"/>
            </w:tcMar>
            <w:vAlign w:val="center"/>
          </w:tcPr>
          <w:p>
            <w:pPr>
              <w:widowControl/>
              <w:jc w:val="center"/>
              <w:rPr>
                <w:rFonts w:ascii="宋体" w:hAnsi="宋体" w:eastAsia="宋体" w:cs="宋体"/>
                <w:kern w:val="0"/>
                <w:sz w:val="24"/>
                <w:szCs w:val="24"/>
                <w:highlight w:val="none"/>
              </w:rPr>
            </w:pPr>
            <w:r>
              <w:rPr>
                <w:rFonts w:ascii="宋体" w:hAnsi="宋体" w:eastAsia="宋体" w:cs="宋体"/>
                <w:kern w:val="0"/>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vMerge w:val="restart"/>
            <w:tcMar>
              <w:top w:w="0" w:type="dxa"/>
              <w:left w:w="105" w:type="dxa"/>
              <w:bottom w:w="0" w:type="dxa"/>
              <w:right w:w="105" w:type="dxa"/>
            </w:tcMar>
            <w:vAlign w:val="center"/>
          </w:tcPr>
          <w:p>
            <w:pPr>
              <w:widowControl/>
              <w:jc w:val="center"/>
              <w:rPr>
                <w:rFonts w:ascii="宋体" w:hAnsi="宋体" w:eastAsia="宋体" w:cs="宋体"/>
                <w:kern w:val="0"/>
                <w:sz w:val="24"/>
                <w:szCs w:val="24"/>
                <w:highlight w:val="none"/>
              </w:rPr>
            </w:pPr>
            <w:r>
              <w:rPr>
                <w:rFonts w:ascii="宋体" w:hAnsi="宋体" w:eastAsia="宋体" w:cs="宋体"/>
                <w:kern w:val="0"/>
                <w:szCs w:val="21"/>
                <w:highlight w:val="none"/>
              </w:rPr>
              <w:t>*</w:t>
            </w:r>
          </w:p>
        </w:tc>
        <w:tc>
          <w:tcPr>
            <w:tcW w:w="1181" w:type="dxa"/>
            <w:tcMar>
              <w:top w:w="0" w:type="dxa"/>
              <w:left w:w="105" w:type="dxa"/>
              <w:bottom w:w="0" w:type="dxa"/>
              <w:right w:w="105" w:type="dxa"/>
            </w:tcMar>
            <w:vAlign w:val="center"/>
          </w:tcPr>
          <w:p>
            <w:pPr>
              <w:widowControl/>
              <w:jc w:val="center"/>
              <w:rPr>
                <w:rFonts w:ascii="宋体" w:hAnsi="宋体" w:eastAsia="宋体" w:cs="宋体"/>
                <w:kern w:val="0"/>
                <w:sz w:val="24"/>
                <w:szCs w:val="24"/>
                <w:highlight w:val="none"/>
              </w:rPr>
            </w:pPr>
            <w:r>
              <w:rPr>
                <w:rFonts w:ascii="宋体" w:hAnsi="宋体" w:eastAsia="宋体" w:cs="宋体"/>
                <w:kern w:val="0"/>
                <w:szCs w:val="21"/>
                <w:highlight w:val="none"/>
              </w:rPr>
              <w:t>*-1</w:t>
            </w: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92" w:type="dxa"/>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vMerge w:val="continue"/>
            <w:vAlign w:val="center"/>
          </w:tcPr>
          <w:p>
            <w:pPr>
              <w:widowControl/>
              <w:jc w:val="left"/>
              <w:rPr>
                <w:rFonts w:ascii="宋体" w:hAnsi="宋体" w:eastAsia="宋体" w:cs="宋体"/>
                <w:kern w:val="0"/>
                <w:sz w:val="24"/>
                <w:szCs w:val="24"/>
                <w:highlight w:val="none"/>
              </w:rPr>
            </w:pPr>
          </w:p>
        </w:tc>
        <w:tc>
          <w:tcPr>
            <w:tcW w:w="1181" w:type="dxa"/>
            <w:tcMar>
              <w:top w:w="0" w:type="dxa"/>
              <w:left w:w="105" w:type="dxa"/>
              <w:bottom w:w="0" w:type="dxa"/>
              <w:right w:w="105" w:type="dxa"/>
            </w:tcMar>
            <w:vAlign w:val="center"/>
          </w:tcPr>
          <w:p>
            <w:pPr>
              <w:widowControl/>
              <w:jc w:val="center"/>
              <w:rPr>
                <w:rFonts w:ascii="宋体" w:hAnsi="宋体" w:eastAsia="宋体" w:cs="宋体"/>
                <w:kern w:val="0"/>
                <w:sz w:val="24"/>
                <w:szCs w:val="24"/>
                <w:highlight w:val="none"/>
              </w:rPr>
            </w:pPr>
            <w:r>
              <w:rPr>
                <w:rFonts w:ascii="Calibri" w:hAnsi="Calibri" w:eastAsia="宋体" w:cs="宋体"/>
                <w:kern w:val="0"/>
                <w:szCs w:val="21"/>
                <w:highlight w:val="none"/>
              </w:rPr>
              <w:t>…</w:t>
            </w: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92" w:type="dxa"/>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kern w:val="0"/>
                <w:sz w:val="24"/>
                <w:szCs w:val="24"/>
                <w:highlight w:val="none"/>
              </w:rPr>
            </w:pPr>
            <w:r>
              <w:rPr>
                <w:rFonts w:ascii="宋体" w:hAnsi="宋体" w:eastAsia="宋体" w:cs="宋体"/>
                <w:kern w:val="0"/>
                <w:szCs w:val="21"/>
                <w:highlight w:val="none"/>
              </w:rPr>
              <w:t>备注</w:t>
            </w:r>
          </w:p>
        </w:tc>
        <w:tc>
          <w:tcPr>
            <w:tcW w:w="7251" w:type="dxa"/>
            <w:gridSpan w:val="6"/>
            <w:tcMar>
              <w:top w:w="0" w:type="dxa"/>
              <w:left w:w="105" w:type="dxa"/>
              <w:bottom w:w="0" w:type="dxa"/>
              <w:right w:w="105" w:type="dxa"/>
            </w:tcMar>
          </w:tcPr>
          <w:p>
            <w:pPr>
              <w:widowControl/>
              <w:jc w:val="left"/>
              <w:rPr>
                <w:rFonts w:ascii="宋体" w:hAnsi="宋体" w:eastAsia="宋体" w:cs="宋体"/>
                <w:kern w:val="0"/>
                <w:sz w:val="24"/>
                <w:szCs w:val="24"/>
                <w:highlight w:val="none"/>
              </w:rPr>
            </w:pPr>
            <w:r>
              <w:rPr>
                <w:rFonts w:ascii="宋体" w:hAnsi="宋体" w:eastAsia="宋体" w:cs="宋体"/>
                <w:kern w:val="0"/>
                <w:szCs w:val="21"/>
                <w:highlight w:val="none"/>
              </w:rPr>
              <w:t>a.本合同包内属于节能、环境标志产品的合计最后报价总金额：      ；</w:t>
            </w:r>
          </w:p>
          <w:p>
            <w:pPr>
              <w:widowControl/>
              <w:jc w:val="left"/>
              <w:rPr>
                <w:rFonts w:ascii="宋体" w:hAnsi="宋体" w:eastAsia="宋体" w:cs="宋体"/>
                <w:kern w:val="0"/>
                <w:sz w:val="24"/>
                <w:szCs w:val="24"/>
                <w:highlight w:val="none"/>
              </w:rPr>
            </w:pPr>
            <w:r>
              <w:rPr>
                <w:rFonts w:ascii="宋体" w:hAnsi="宋体" w:eastAsia="宋体" w:cs="宋体"/>
                <w:kern w:val="0"/>
                <w:szCs w:val="21"/>
                <w:highlight w:val="none"/>
              </w:rPr>
              <w:t>b.本合同包最后报价总价：            ；</w:t>
            </w:r>
          </w:p>
          <w:p>
            <w:pPr>
              <w:widowControl/>
              <w:jc w:val="left"/>
              <w:rPr>
                <w:rFonts w:ascii="宋体" w:hAnsi="宋体" w:eastAsia="宋体" w:cs="宋体"/>
                <w:kern w:val="0"/>
                <w:sz w:val="24"/>
                <w:szCs w:val="24"/>
                <w:highlight w:val="none"/>
              </w:rPr>
            </w:pPr>
            <w:r>
              <w:rPr>
                <w:rFonts w:ascii="宋体" w:hAnsi="宋体" w:eastAsia="宋体" w:cs="宋体"/>
                <w:kern w:val="0"/>
                <w:szCs w:val="21"/>
                <w:highlight w:val="none"/>
              </w:rPr>
              <w:t>c.本合同包内属于节能、环境标志产品的合计最后报价总金额占本合同包最后报价总价的比例（以</w:t>
            </w:r>
            <w:r>
              <w:rPr>
                <w:rFonts w:ascii="Calibri" w:hAnsi="Calibri" w:eastAsia="宋体" w:cs="宋体"/>
                <w:kern w:val="0"/>
                <w:szCs w:val="21"/>
                <w:highlight w:val="none"/>
              </w:rPr>
              <w:t>%</w:t>
            </w:r>
            <w:r>
              <w:rPr>
                <w:rFonts w:ascii="宋体" w:hAnsi="宋体" w:eastAsia="宋体" w:cs="宋体"/>
                <w:kern w:val="0"/>
                <w:szCs w:val="21"/>
                <w:highlight w:val="none"/>
              </w:rPr>
              <w:t>列示）：           。</w:t>
            </w:r>
          </w:p>
        </w:tc>
      </w:tr>
    </w:tbl>
    <w:p>
      <w:pPr>
        <w:widowControl/>
        <w:spacing w:before="75" w:after="75" w:line="360" w:lineRule="atLeast"/>
        <w:jc w:val="left"/>
        <w:rPr>
          <w:rFonts w:ascii="宋体" w:hAnsi="宋体" w:eastAsia="宋体" w:cs="宋体"/>
          <w:kern w:val="0"/>
          <w:sz w:val="24"/>
          <w:szCs w:val="24"/>
          <w:highlight w:val="none"/>
        </w:rPr>
      </w:pPr>
      <w:r>
        <w:rPr>
          <w:rFonts w:hint="eastAsia" w:ascii="宋体" w:hAnsi="宋体" w:eastAsia="宋体" w:cs="宋体"/>
          <w:kern w:val="0"/>
          <w:szCs w:val="21"/>
          <w:highlight w:val="none"/>
        </w:rPr>
        <w:t>★</w:t>
      </w:r>
      <w:r>
        <w:rPr>
          <w:rFonts w:ascii="宋体" w:hAnsi="宋体" w:eastAsia="宋体" w:cs="宋体"/>
          <w:kern w:val="0"/>
          <w:szCs w:val="21"/>
          <w:highlight w:val="none"/>
        </w:rPr>
        <w:t>注意：</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3、具体统计、计算：</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3.1若同一合同包内的单个或多个货物取得或同时取得节能、环境标志产品等两项或多项认证的，均按照单个货物对应一项认证的原则统计、计算</w:t>
      </w:r>
      <w:r>
        <w:rPr>
          <w:rFonts w:ascii="Calibri" w:hAnsi="Calibri" w:eastAsia="宋体" w:cs="宋体"/>
          <w:kern w:val="0"/>
          <w:szCs w:val="21"/>
          <w:highlight w:val="none"/>
        </w:rPr>
        <w:t>1</w:t>
      </w:r>
      <w:r>
        <w:rPr>
          <w:rFonts w:ascii="宋体" w:hAnsi="宋体" w:eastAsia="宋体" w:cs="宋体"/>
          <w:kern w:val="0"/>
          <w:szCs w:val="21"/>
          <w:highlight w:val="none"/>
        </w:rPr>
        <w:t>次。</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3.2计算结果若除不尽，可四舍五入保留到小数点后两位。</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3.3供应商应按照谈判文件上表要求认真统计、计算，否则谈判小组可不予认定。</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3.4若无节能、环境标志产品，不填写本表，否则，视为提供虚假材料。</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3.5强制类节能产品不享受价格扣除。</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widowControl/>
        <w:spacing w:before="75" w:after="75" w:line="360" w:lineRule="atLeast"/>
        <w:jc w:val="left"/>
        <w:rPr>
          <w:rFonts w:ascii="宋体" w:hAnsi="宋体" w:eastAsia="宋体" w:cs="宋体"/>
          <w:kern w:val="0"/>
          <w:sz w:val="24"/>
          <w:szCs w:val="24"/>
          <w:highlight w:val="none"/>
        </w:rPr>
      </w:pPr>
      <w:r>
        <w:rPr>
          <w:rFonts w:ascii="宋体" w:hAnsi="宋体" w:eastAsia="宋体" w:cs="宋体"/>
          <w:kern w:val="0"/>
          <w:szCs w:val="21"/>
          <w:highlight w:val="none"/>
        </w:rPr>
        <w:t>5、纸质响应文件正本中的本表（若有）应为原件。</w:t>
      </w:r>
    </w:p>
    <w:p>
      <w:pPr>
        <w:widowControl/>
        <w:spacing w:before="75" w:after="75" w:line="420"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p>
    <w:p>
      <w:pPr>
        <w:rPr>
          <w:rFonts w:ascii="宋体" w:hAnsi="宋体" w:eastAsia="宋体" w:cs="宋体"/>
          <w:kern w:val="0"/>
          <w:sz w:val="24"/>
          <w:szCs w:val="24"/>
          <w:highlight w:val="none"/>
        </w:rPr>
      </w:pPr>
      <w:r>
        <w:rPr>
          <w:rFonts w:ascii="宋体" w:hAnsi="宋体" w:eastAsia="宋体" w:cs="宋体"/>
          <w:kern w:val="0"/>
          <w:sz w:val="24"/>
          <w:szCs w:val="24"/>
          <w:highlight w:val="none"/>
        </w:rPr>
        <w:br w:type="page"/>
      </w:r>
    </w:p>
    <w:p>
      <w:pPr>
        <w:widowControl/>
        <w:spacing w:before="75" w:after="75"/>
        <w:jc w:val="left"/>
        <w:outlineLvl w:val="1"/>
        <w:rPr>
          <w:rFonts w:ascii="宋体" w:hAnsi="宋体" w:eastAsia="宋体" w:cs="宋体"/>
          <w:kern w:val="0"/>
          <w:sz w:val="24"/>
          <w:szCs w:val="24"/>
          <w:highlight w:val="none"/>
        </w:rPr>
      </w:pPr>
      <w:r>
        <w:rPr>
          <w:rFonts w:ascii="宋体" w:hAnsi="宋体" w:eastAsia="宋体" w:cs="宋体"/>
          <w:kern w:val="0"/>
          <w:sz w:val="24"/>
          <w:szCs w:val="24"/>
          <w:highlight w:val="none"/>
        </w:rPr>
        <w:t>附件8    </w:t>
      </w:r>
      <w:r>
        <w:rPr>
          <w:rFonts w:ascii="宋体" w:hAnsi="宋体" w:eastAsia="宋体" w:cs="宋体"/>
          <w:b/>
          <w:bCs/>
          <w:kern w:val="0"/>
          <w:sz w:val="24"/>
          <w:szCs w:val="24"/>
          <w:highlight w:val="none"/>
        </w:rPr>
        <w:t>要求作为响应文件组成部分的其他内容（若有）</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说明：</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widowControl/>
        <w:spacing w:before="75" w:after="75" w:line="435" w:lineRule="atLeas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2、供应商根据自身实际情况编写有关资料包括如供应商单位简介、竞争性谈判文件要求提供或供应商自已认为体现自身优势，需要补充说明的其它资料，格式自拟。</w:t>
      </w:r>
    </w:p>
    <w:p>
      <w:pPr>
        <w:widowControl/>
        <w:spacing w:before="75" w:after="75" w:line="435" w:lineRule="atLeast"/>
        <w:rPr>
          <w:rFonts w:ascii="宋体" w:hAnsi="宋体" w:eastAsia="宋体" w:cs="宋体"/>
          <w:kern w:val="0"/>
          <w:sz w:val="24"/>
          <w:szCs w:val="24"/>
          <w:highlight w:val="none"/>
        </w:rPr>
      </w:pP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供应商代表：          （签字）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供应商名称：       （全称并加盖公章）             </w:t>
      </w:r>
    </w:p>
    <w:p>
      <w:pPr>
        <w:widowControl/>
        <w:spacing w:before="75" w:after="75" w:line="435" w:lineRule="atLeast"/>
        <w:rPr>
          <w:rFonts w:ascii="宋体" w:hAnsi="宋体" w:eastAsia="宋体" w:cs="宋体"/>
          <w:kern w:val="0"/>
          <w:sz w:val="24"/>
          <w:szCs w:val="24"/>
          <w:highlight w:val="none"/>
        </w:rPr>
      </w:pPr>
      <w:r>
        <w:rPr>
          <w:rFonts w:ascii="宋体" w:hAnsi="宋体" w:eastAsia="宋体" w:cs="宋体"/>
          <w:kern w:val="0"/>
          <w:sz w:val="24"/>
          <w:szCs w:val="24"/>
          <w:highlight w:val="none"/>
        </w:rPr>
        <w:t>日  期：     年    月    日</w:t>
      </w:r>
    </w:p>
    <w:p>
      <w:pPr>
        <w:widowControl/>
        <w:spacing w:before="75" w:after="75"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spacing w:before="75" w:after="75"/>
        <w:jc w:val="left"/>
        <w:rPr>
          <w:rFonts w:ascii="宋体" w:hAnsi="宋体" w:eastAsia="宋体" w:cs="宋体"/>
          <w:kern w:val="0"/>
          <w:sz w:val="24"/>
          <w:szCs w:val="24"/>
          <w:highlight w:val="none"/>
        </w:rPr>
      </w:pPr>
    </w:p>
    <w:sectPr>
      <w:footerReference r:id="rId4" w:type="default"/>
      <w:pgSz w:w="11906" w:h="16838"/>
      <w:pgMar w:top="1440" w:right="1803" w:bottom="1440" w:left="1803"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rPr>
        <w:rFonts w:asciiTheme="minorEastAsia" w:hAnsiTheme="minorEastAsia" w:cstheme="minorEastAsia"/>
        <w:sz w:val="20"/>
        <w:szCs w:val="20"/>
      </w:rPr>
    </w:pPr>
    <w:r>
      <w:rPr>
        <w:rFonts w:hint="eastAsia" w:asciiTheme="minorEastAsia" w:hAnsiTheme="minorEastAsia" w:cstheme="minorEastAsia"/>
        <w:sz w:val="20"/>
        <w:szCs w:val="20"/>
      </w:rPr>
      <w:t>福建丰盛项目管理有限公司采购文件                                     0595-22896657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0ADA8"/>
    <w:multiLevelType w:val="singleLevel"/>
    <w:tmpl w:val="98D0ADA8"/>
    <w:lvl w:ilvl="0" w:tentative="0">
      <w:start w:val="2"/>
      <w:numFmt w:val="chineseCounting"/>
      <w:suff w:val="nothing"/>
      <w:lvlText w:val="%1、"/>
      <w:lvlJc w:val="left"/>
      <w:rPr>
        <w:rFonts w:hint="eastAsia"/>
      </w:rPr>
    </w:lvl>
  </w:abstractNum>
  <w:abstractNum w:abstractNumId="1">
    <w:nsid w:val="CBE62B4A"/>
    <w:multiLevelType w:val="singleLevel"/>
    <w:tmpl w:val="CBE62B4A"/>
    <w:lvl w:ilvl="0" w:tentative="0">
      <w:start w:val="1"/>
      <w:numFmt w:val="decimal"/>
      <w:suff w:val="space"/>
      <w:lvlText w:val="（%1）"/>
      <w:lvlJc w:val="left"/>
    </w:lvl>
  </w:abstractNum>
  <w:abstractNum w:abstractNumId="2">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3">
    <w:nsid w:val="220AD1C6"/>
    <w:multiLevelType w:val="singleLevel"/>
    <w:tmpl w:val="220AD1C6"/>
    <w:lvl w:ilvl="0" w:tentative="0">
      <w:start w:val="4"/>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1B"/>
    <w:rsid w:val="00000B2A"/>
    <w:rsid w:val="000B54D2"/>
    <w:rsid w:val="000E36DA"/>
    <w:rsid w:val="0011541B"/>
    <w:rsid w:val="001256F1"/>
    <w:rsid w:val="00160FAC"/>
    <w:rsid w:val="00163576"/>
    <w:rsid w:val="001743A3"/>
    <w:rsid w:val="001F19DD"/>
    <w:rsid w:val="0023003F"/>
    <w:rsid w:val="002363FB"/>
    <w:rsid w:val="00251DCA"/>
    <w:rsid w:val="002753CF"/>
    <w:rsid w:val="002764E1"/>
    <w:rsid w:val="00293A7B"/>
    <w:rsid w:val="002D27E0"/>
    <w:rsid w:val="00306F77"/>
    <w:rsid w:val="0037682E"/>
    <w:rsid w:val="003D5A80"/>
    <w:rsid w:val="003F6E65"/>
    <w:rsid w:val="00411293"/>
    <w:rsid w:val="00432D06"/>
    <w:rsid w:val="0045034E"/>
    <w:rsid w:val="004509C3"/>
    <w:rsid w:val="00463A55"/>
    <w:rsid w:val="00484B71"/>
    <w:rsid w:val="004A2835"/>
    <w:rsid w:val="004C4090"/>
    <w:rsid w:val="00500CEA"/>
    <w:rsid w:val="00506E02"/>
    <w:rsid w:val="005367B5"/>
    <w:rsid w:val="00550CF9"/>
    <w:rsid w:val="00590B46"/>
    <w:rsid w:val="005D687C"/>
    <w:rsid w:val="005E1216"/>
    <w:rsid w:val="00670871"/>
    <w:rsid w:val="00673D39"/>
    <w:rsid w:val="006B0E9B"/>
    <w:rsid w:val="006C545E"/>
    <w:rsid w:val="006E02B0"/>
    <w:rsid w:val="006E32E9"/>
    <w:rsid w:val="006F3DF9"/>
    <w:rsid w:val="0075092A"/>
    <w:rsid w:val="0086300D"/>
    <w:rsid w:val="008A6F49"/>
    <w:rsid w:val="008B4353"/>
    <w:rsid w:val="00904AF5"/>
    <w:rsid w:val="00932E45"/>
    <w:rsid w:val="00980F8B"/>
    <w:rsid w:val="009A1839"/>
    <w:rsid w:val="00A04249"/>
    <w:rsid w:val="00A462BA"/>
    <w:rsid w:val="00A82D5B"/>
    <w:rsid w:val="00AC1D4E"/>
    <w:rsid w:val="00B05B38"/>
    <w:rsid w:val="00BD10FC"/>
    <w:rsid w:val="00C17ED5"/>
    <w:rsid w:val="00C33A8A"/>
    <w:rsid w:val="00C55046"/>
    <w:rsid w:val="00C70387"/>
    <w:rsid w:val="00CF78A8"/>
    <w:rsid w:val="00D16206"/>
    <w:rsid w:val="00D20FFB"/>
    <w:rsid w:val="00D566A4"/>
    <w:rsid w:val="00D92F47"/>
    <w:rsid w:val="00E22FA9"/>
    <w:rsid w:val="00EC4BA4"/>
    <w:rsid w:val="00FB56AC"/>
    <w:rsid w:val="01B80E49"/>
    <w:rsid w:val="032654F5"/>
    <w:rsid w:val="050713CF"/>
    <w:rsid w:val="05567798"/>
    <w:rsid w:val="06B00B0B"/>
    <w:rsid w:val="06DD4404"/>
    <w:rsid w:val="07CE7E8D"/>
    <w:rsid w:val="0B8D1370"/>
    <w:rsid w:val="0BC71C8C"/>
    <w:rsid w:val="0C0B2FD3"/>
    <w:rsid w:val="0CD97CF4"/>
    <w:rsid w:val="0F4F6777"/>
    <w:rsid w:val="1064307E"/>
    <w:rsid w:val="10672059"/>
    <w:rsid w:val="12412742"/>
    <w:rsid w:val="13BC48BE"/>
    <w:rsid w:val="145C4F98"/>
    <w:rsid w:val="14BC1B0C"/>
    <w:rsid w:val="155A7C67"/>
    <w:rsid w:val="15ED5661"/>
    <w:rsid w:val="16D613E1"/>
    <w:rsid w:val="17207020"/>
    <w:rsid w:val="17525C70"/>
    <w:rsid w:val="18210DD4"/>
    <w:rsid w:val="190B3989"/>
    <w:rsid w:val="1A3C444C"/>
    <w:rsid w:val="1C2B1FA9"/>
    <w:rsid w:val="1CA82C1E"/>
    <w:rsid w:val="1EA0338F"/>
    <w:rsid w:val="21BE41E3"/>
    <w:rsid w:val="21C1303C"/>
    <w:rsid w:val="21E26C76"/>
    <w:rsid w:val="21E61A2C"/>
    <w:rsid w:val="22E47E30"/>
    <w:rsid w:val="233B1031"/>
    <w:rsid w:val="237A4069"/>
    <w:rsid w:val="24BB5A96"/>
    <w:rsid w:val="252B4B2B"/>
    <w:rsid w:val="257B05B7"/>
    <w:rsid w:val="2623017C"/>
    <w:rsid w:val="26460486"/>
    <w:rsid w:val="26BA550F"/>
    <w:rsid w:val="26C13BBB"/>
    <w:rsid w:val="2721444F"/>
    <w:rsid w:val="286F75A3"/>
    <w:rsid w:val="2AEB6D8B"/>
    <w:rsid w:val="2C1A697F"/>
    <w:rsid w:val="2D9D7804"/>
    <w:rsid w:val="30831F43"/>
    <w:rsid w:val="30C27650"/>
    <w:rsid w:val="311B7E7D"/>
    <w:rsid w:val="31666475"/>
    <w:rsid w:val="358E794F"/>
    <w:rsid w:val="35B25FDB"/>
    <w:rsid w:val="36086B12"/>
    <w:rsid w:val="383E267D"/>
    <w:rsid w:val="390A6FEF"/>
    <w:rsid w:val="3B5D2595"/>
    <w:rsid w:val="3C274FC9"/>
    <w:rsid w:val="3DC06423"/>
    <w:rsid w:val="3DDA468B"/>
    <w:rsid w:val="3FB5425D"/>
    <w:rsid w:val="40781F16"/>
    <w:rsid w:val="417F018B"/>
    <w:rsid w:val="42BA0990"/>
    <w:rsid w:val="45A4728F"/>
    <w:rsid w:val="46095E30"/>
    <w:rsid w:val="462E4BB9"/>
    <w:rsid w:val="4971286A"/>
    <w:rsid w:val="499951CC"/>
    <w:rsid w:val="4B8852FE"/>
    <w:rsid w:val="4D5A6AD9"/>
    <w:rsid w:val="4F585FF1"/>
    <w:rsid w:val="511438DF"/>
    <w:rsid w:val="5276504A"/>
    <w:rsid w:val="55571296"/>
    <w:rsid w:val="55865F35"/>
    <w:rsid w:val="55A5547E"/>
    <w:rsid w:val="565A3957"/>
    <w:rsid w:val="568A5AC0"/>
    <w:rsid w:val="56C73BD3"/>
    <w:rsid w:val="57756892"/>
    <w:rsid w:val="57F1332C"/>
    <w:rsid w:val="593F7BCE"/>
    <w:rsid w:val="595A1A60"/>
    <w:rsid w:val="59BD150C"/>
    <w:rsid w:val="5A731E9B"/>
    <w:rsid w:val="5C1A24FF"/>
    <w:rsid w:val="5D313A79"/>
    <w:rsid w:val="5DAB3FE1"/>
    <w:rsid w:val="5FCF5AB7"/>
    <w:rsid w:val="60313743"/>
    <w:rsid w:val="60666970"/>
    <w:rsid w:val="61F11F87"/>
    <w:rsid w:val="632177F2"/>
    <w:rsid w:val="647362D6"/>
    <w:rsid w:val="6584470E"/>
    <w:rsid w:val="65D1798A"/>
    <w:rsid w:val="66306BDE"/>
    <w:rsid w:val="66C05BD0"/>
    <w:rsid w:val="6772212D"/>
    <w:rsid w:val="678271F5"/>
    <w:rsid w:val="68044820"/>
    <w:rsid w:val="682D4316"/>
    <w:rsid w:val="685A76E0"/>
    <w:rsid w:val="68BE46ED"/>
    <w:rsid w:val="69276348"/>
    <w:rsid w:val="6A524E7D"/>
    <w:rsid w:val="6B3A7EDB"/>
    <w:rsid w:val="6B7D7909"/>
    <w:rsid w:val="6BEE42EF"/>
    <w:rsid w:val="6C1B4A25"/>
    <w:rsid w:val="6CA5774E"/>
    <w:rsid w:val="6D6B6371"/>
    <w:rsid w:val="6E3F3DE5"/>
    <w:rsid w:val="6E754E82"/>
    <w:rsid w:val="6E994CD0"/>
    <w:rsid w:val="703C7845"/>
    <w:rsid w:val="72655DF3"/>
    <w:rsid w:val="744578BE"/>
    <w:rsid w:val="758401A9"/>
    <w:rsid w:val="75887E06"/>
    <w:rsid w:val="78AA4C32"/>
    <w:rsid w:val="78ED285B"/>
    <w:rsid w:val="791D0BAD"/>
    <w:rsid w:val="799B00E2"/>
    <w:rsid w:val="7C9507B3"/>
    <w:rsid w:val="7C9E383B"/>
    <w:rsid w:val="7DC23D43"/>
    <w:rsid w:val="7DF765FF"/>
    <w:rsid w:val="7E500951"/>
    <w:rsid w:val="7F423E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annotation text"/>
    <w:basedOn w:val="1"/>
    <w:link w:val="16"/>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4"/>
    <w:next w:val="4"/>
    <w:link w:val="17"/>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annotation reference"/>
    <w:basedOn w:val="12"/>
    <w:semiHidden/>
    <w:unhideWhenUsed/>
    <w:qFormat/>
    <w:uiPriority w:val="99"/>
    <w:rPr>
      <w:sz w:val="21"/>
      <w:szCs w:val="21"/>
    </w:rPr>
  </w:style>
  <w:style w:type="character" w:customStyle="1" w:styleId="15">
    <w:name w:val="标题 3 Char"/>
    <w:basedOn w:val="12"/>
    <w:link w:val="3"/>
    <w:qFormat/>
    <w:uiPriority w:val="9"/>
    <w:rPr>
      <w:rFonts w:ascii="宋体" w:hAnsi="宋体" w:eastAsia="宋体" w:cs="宋体"/>
      <w:b/>
      <w:bCs/>
      <w:kern w:val="0"/>
      <w:sz w:val="27"/>
      <w:szCs w:val="27"/>
    </w:rPr>
  </w:style>
  <w:style w:type="character" w:customStyle="1" w:styleId="16">
    <w:name w:val="批注文字 Char"/>
    <w:basedOn w:val="12"/>
    <w:link w:val="4"/>
    <w:semiHidden/>
    <w:qFormat/>
    <w:uiPriority w:val="99"/>
  </w:style>
  <w:style w:type="character" w:customStyle="1" w:styleId="17">
    <w:name w:val="批注主题 Char"/>
    <w:basedOn w:val="16"/>
    <w:link w:val="9"/>
    <w:semiHidden/>
    <w:qFormat/>
    <w:uiPriority w:val="99"/>
    <w:rPr>
      <w:b/>
      <w:bCs/>
    </w:rPr>
  </w:style>
  <w:style w:type="character" w:customStyle="1" w:styleId="18">
    <w:name w:val="批注框文本 Char"/>
    <w:basedOn w:val="12"/>
    <w:link w:val="5"/>
    <w:semiHidden/>
    <w:qFormat/>
    <w:uiPriority w:val="99"/>
    <w:rPr>
      <w:sz w:val="18"/>
      <w:szCs w:val="18"/>
    </w:rPr>
  </w:style>
  <w:style w:type="character" w:customStyle="1" w:styleId="19">
    <w:name w:val="font11"/>
    <w:basedOn w:val="12"/>
    <w:qFormat/>
    <w:uiPriority w:val="0"/>
    <w:rPr>
      <w:rFonts w:hint="eastAsia" w:ascii="宋体" w:hAnsi="宋体" w:eastAsia="宋体" w:cs="宋体"/>
      <w:color w:val="000000"/>
      <w:sz w:val="22"/>
      <w:szCs w:val="22"/>
      <w:u w:val="none"/>
    </w:rPr>
  </w:style>
  <w:style w:type="paragraph" w:customStyle="1" w:styleId="20">
    <w:name w:val="Style1"/>
    <w:basedOn w:val="1"/>
    <w:qFormat/>
    <w:uiPriority w:val="0"/>
    <w:pPr>
      <w:widowControl/>
      <w:tabs>
        <w:tab w:val="left" w:pos="-720"/>
      </w:tabs>
      <w:spacing w:after="120"/>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BE78D4-2342-473E-9630-EDE1DD12FC4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75</Pages>
  <Words>6708</Words>
  <Characters>38240</Characters>
  <Lines>318</Lines>
  <Paragraphs>89</Paragraphs>
  <TotalTime>5</TotalTime>
  <ScaleCrop>false</ScaleCrop>
  <LinksUpToDate>false</LinksUpToDate>
  <CharactersWithSpaces>44859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2020-12-22T04:33:00Z</dcterms:created>
  <dc:creator>Administrator</dc:creator>
  <cp:lastModifiedBy>斑马</cp:lastModifiedBy>
  <dcterms:modified xsi:type="dcterms:W3CDTF">2021-05-28T08:15:25Z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5F689AEF4EAC4CE495B583F9C942FA2E</vt:lpwstr>
  </property>
</Properties>
</file>