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hint="eastAsia" w:ascii="黑体" w:hAnsi="黑体" w:eastAsia="黑体" w:cs="黑体"/>
          <w:bCs/>
          <w:color w:val="000000" w:themeColor="text1"/>
          <w:sz w:val="32"/>
          <w:szCs w:val="30"/>
          <w:lang w:val="en-US" w:eastAsia="zh-CN"/>
          <w14:textFill>
            <w14:solidFill>
              <w14:schemeClr w14:val="tx1"/>
            </w14:solidFill>
          </w14:textFill>
        </w:rPr>
        <w:t>3</w:t>
      </w:r>
      <w:bookmarkStart w:id="3" w:name="_GoBack"/>
      <w:bookmarkEnd w:id="3"/>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高等学校实验室安全检查项目表（2023</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hint="eastAsia" w:eastAsia="仿宋"/>
                <w:bCs/>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r>
              <w:rPr>
                <w:rFonts w:hint="eastAsia" w:eastAsia="仿宋"/>
                <w:kern w:val="0"/>
                <w:szCs w:val="21"/>
              </w:rPr>
              <w:t>。</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包括单位、房间、类别、数量、责任人等信息</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（38）建立风险分级管控方案</w:t>
            </w:r>
            <w:r>
              <w:rPr>
                <w:rFonts w:hint="eastAsia" w:eastAsia="仿宋"/>
                <w:bCs/>
                <w:kern w:val="0"/>
                <w:szCs w:val="21"/>
              </w:rPr>
              <w:t>。</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（47）每个房间门口挂有安全信息牌，信息包括：安全风险点的警示标识、安全责任人、涉及危险类别、防护措施和有效的应急联系电话等，并及时更新</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（48）超过200平方米的实验楼层具有至少两处</w:t>
            </w:r>
            <w:r>
              <w:rPr>
                <w:rFonts w:hint="eastAsia" w:eastAsia="仿宋"/>
                <w:szCs w:val="21"/>
              </w:rPr>
              <w:t>安全</w:t>
            </w:r>
            <w:r>
              <w:rPr>
                <w:rFonts w:eastAsia="仿宋"/>
                <w:szCs w:val="21"/>
              </w:rPr>
              <w:t>出口，75平方米以上实验室要有两个出入口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米</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（50）实验室操作区层高不低于2米</w:t>
            </w:r>
            <w:r>
              <w:rPr>
                <w:rFonts w:hint="eastAsia" w:eastAsia="仿宋"/>
                <w:szCs w:val="21"/>
              </w:rPr>
              <w:t>。</w:t>
            </w:r>
          </w:p>
          <w:p>
            <w:pPr>
              <w:widowControl/>
              <w:spacing w:line="300" w:lineRule="exact"/>
              <w:rPr>
                <w:rFonts w:eastAsia="仿宋"/>
                <w:bCs/>
                <w:kern w:val="0"/>
                <w:szCs w:val="21"/>
              </w:rPr>
            </w:pPr>
            <w:r>
              <w:rPr>
                <w:rFonts w:eastAsia="仿宋"/>
                <w:szCs w:val="21"/>
              </w:rPr>
              <w:t>（51）理工农医类实验室内多人同时进行实验时，人均操作面积不小于2.5平方米</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r>
              <w:rPr>
                <w:rFonts w:hint="eastAsia" w:eastAsia="仿宋"/>
                <w:bCs/>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不在实验室睡觉，不存放和烧煮食物、饮食，禁止吸烟、不使用可燃性蚊香</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r>
              <w:rPr>
                <w:rFonts w:hint="eastAsia" w:eastAsia="仿宋"/>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r>
              <w:rPr>
                <w:rFonts w:hint="eastAsia" w:eastAsia="仿宋"/>
                <w:bCs/>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，并设置有效标识指示逃生方向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（77）应急喷淋和洗眼装置的区域有显著标识</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r>
              <w:rPr>
                <w:rFonts w:hint="eastAsia" w:eastAsia="仿宋"/>
                <w:kern w:val="0"/>
                <w:szCs w:val="21"/>
              </w:rPr>
              <w:t>。</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有害气体而导致个人曝露、或产生可燃、可爆炸气体或蒸汽而导致积聚的实验，都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穿着化学、生物类实验服或戴实验手套，不得随意进入非实验区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人</w:t>
            </w:r>
            <w:r>
              <w:rPr>
                <w:rFonts w:eastAsia="仿宋"/>
                <w:kern w:val="0"/>
                <w:szCs w:val="21"/>
              </w:rPr>
              <w:t>防护器具应分散存放在安全场所，以便于取用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须有通风、隔热、避光、防盗、防爆、防静电、泄露报警、应急喷淋、安全警示标识等措施，符合相关规定，专人管理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r>
              <w:rPr>
                <w:rFonts w:hint="eastAsia" w:eastAsia="仿宋"/>
                <w:kern w:val="0"/>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其他化学品存放问题</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17565的要求，防盗安全级别为乙级（含）以上，防盗锁应符合GA/T 73的要求，防盗保险柜应符合《防盗保险柜》GB 10409的要求，监控管控执行公安要求。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涉及有毒、可燃气体的场所，配有通风设施和相应的气体监测和报警装置等，张贴必要的安全警示标识</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的规定要求，确认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r>
              <w:rPr>
                <w:rFonts w:hint="eastAsia" w:eastAsia="仿宋"/>
                <w:kern w:val="0"/>
                <w:szCs w:val="21"/>
              </w:rPr>
              <w:t>。</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w:t>
            </w:r>
            <w:r>
              <w:rPr>
                <w:rFonts w:hint="eastAsia" w:eastAsia="仿宋"/>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暂存区应有警示标识并有防遗洒、防渗漏设施或措施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废弃的化学试剂应存放在原试剂瓶中，保留原标签，并瓶口朝上放入专用固废箱中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szCs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r>
              <w:rPr>
                <w:rFonts w:hint="eastAsia" w:eastAsia="仿宋"/>
                <w:kern w:val="0"/>
                <w:szCs w:val="21"/>
              </w:rPr>
              <w:t>。</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r>
              <w:rPr>
                <w:rFonts w:hint="eastAsia" w:eastAsia="仿宋"/>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r>
              <w:rPr>
                <w:rFonts w:hint="eastAsia" w:eastAsia="仿宋"/>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r>
              <w:rPr>
                <w:rFonts w:hint="eastAsia" w:eastAsia="仿宋"/>
                <w:kern w:val="0"/>
                <w:szCs w:val="21"/>
              </w:rPr>
              <w:t>。</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r>
              <w:rPr>
                <w:rFonts w:hint="eastAsia" w:eastAsia="仿宋"/>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放射源和放射性物质转让转移有学校及生态环境部门的审批备案材料，转让转移前必须先做环境影响评价工作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放射性物质以及射线装置储存和使用场所变更应重新开展环境影响评价</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仪器设备接地系统应按规范要求，采用铜质材料，接地电阻不高于0.5欧</w:t>
            </w:r>
            <w:r>
              <w:rPr>
                <w:rFonts w:hint="eastAsia" w:eastAsia="仿宋"/>
                <w:szCs w:val="21"/>
              </w:rPr>
              <w:t>。</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人</w:t>
            </w:r>
            <w:r>
              <w:rPr>
                <w:rFonts w:eastAsia="仿宋"/>
                <w:kern w:val="0"/>
              </w:rPr>
              <w:t>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各种电器设备及电线应始终保持干燥，防止浸湿，以防短路引起火灾或烧坏电气设备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；配备合适的灭火装置</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委托有资质单位进行定期检验，并将定期检验合格证置于特种设备显著位置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在用起重机械至少每月进行一次日常维护保养和自行检查，并作记录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color w:val="000000" w:themeColor="text1"/>
                <w:kern w:val="0"/>
                <w:szCs w:val="21"/>
                <w14:textFill>
                  <w14:solidFill>
                    <w14:schemeClr w14:val="tx1"/>
                  </w14:solidFill>
                </w14:textFill>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设备铭牌上标明为简单压力容器不需办理</w:t>
            </w:r>
            <w:r>
              <w:rPr>
                <w:rFonts w:hint="eastAsia" w:eastAsia="仿宋"/>
                <w:kern w:val="0"/>
                <w:szCs w:val="21"/>
              </w:rPr>
              <w:t>。（气瓶的安全检查要点见</w:t>
            </w:r>
            <w:r>
              <w:rPr>
                <w:rFonts w:eastAsia="仿宋"/>
                <w:kern w:val="0"/>
                <w:szCs w:val="21"/>
              </w:rPr>
              <w:t>9.6</w:t>
            </w:r>
            <w:r>
              <w:rPr>
                <w:rFonts w:hint="eastAsia" w:eastAsia="仿宋"/>
                <w:kern w:val="0"/>
                <w:szCs w:val="21"/>
              </w:rPr>
              <w:t>）。</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）委托有资质单位进行定期检验，并将定期检验合格证置于特种设备显著位置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委托有资质单位定期校验或检定</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278</w:t>
            </w:r>
            <w:r>
              <w:rPr>
                <w:rFonts w:hint="eastAsia" w:eastAsia="仿宋"/>
                <w:color w:val="000000" w:themeColor="text1"/>
                <w:kern w:val="0"/>
                <w:szCs w:val="21"/>
                <w14:textFill>
                  <w14:solidFill>
                    <w14:schemeClr w14:val="tx1"/>
                  </w14:solidFill>
                </w14:textFill>
              </w:rPr>
              <w:t>）设置安全管理机构，配备安全管理负责人、安全管理人员和作业人员，建立各项安全管理制度，制定操作规程。</w:t>
            </w:r>
          </w:p>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r>
              <w:rPr>
                <w:rFonts w:eastAsia="仿宋"/>
                <w:color w:val="000000" w:themeColor="text1"/>
                <w:kern w:val="0"/>
                <w:szCs w:val="21"/>
                <w14:textFill>
                  <w14:solidFill>
                    <w14:schemeClr w14:val="tx1"/>
                  </w14:solidFill>
                </w14:textFill>
              </w:rPr>
              <w:t>79</w:t>
            </w:r>
            <w:r>
              <w:rPr>
                <w:rFonts w:hint="eastAsia" w:eastAsia="仿宋"/>
                <w:color w:val="000000" w:themeColor="text1"/>
                <w:kern w:val="0"/>
                <w:szCs w:val="21"/>
                <w14:textFill>
                  <w14:solidFill>
                    <w14:schemeClr w14:val="tx1"/>
                  </w14:solidFill>
                </w14:textFill>
              </w:rPr>
              <w:t>）实验室应经常巡回检查，发现异常及时处理，并做记录。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280</w:t>
            </w:r>
            <w:r>
              <w:rPr>
                <w:rFonts w:hint="eastAsia" w:eastAsia="仿宋"/>
                <w:color w:val="000000" w:themeColor="text1"/>
                <w:kern w:val="0"/>
                <w:szCs w:val="21"/>
                <w14:textFill>
                  <w14:solidFill>
                    <w14:schemeClr w14:val="tx1"/>
                  </w14:solidFill>
                </w14:textFill>
              </w:rPr>
              <w:t>）建立压力容器自行检查</w:t>
            </w:r>
            <w:r>
              <w:rPr>
                <w:rFonts w:hint="eastAsia" w:eastAsia="仿宋"/>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281</w:t>
            </w:r>
            <w:r>
              <w:rPr>
                <w:rFonts w:hint="eastAsia" w:eastAsia="仿宋"/>
                <w:color w:val="000000" w:themeColor="text1"/>
                <w:kern w:val="0"/>
                <w:szCs w:val="21"/>
                <w14:textFill>
                  <w14:solidFill>
                    <w14:schemeClr w14:val="tx1"/>
                  </w14:solidFill>
                </w14:textFill>
              </w:rPr>
              <w:t>）</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lang w:eastAsia="zh-CN"/>
              </w:rPr>
              <w:t>，</w:t>
            </w:r>
            <w:r>
              <w:rPr>
                <w:rFonts w:hint="eastAsia" w:eastAsia="仿宋"/>
                <w:kern w:val="0"/>
                <w:szCs w:val="21"/>
                <w:lang w:val="en-US" w:eastAsia="zh-CN"/>
              </w:rPr>
              <w:t>证书</w:t>
            </w:r>
            <w:r>
              <w:rPr>
                <w:rFonts w:eastAsia="仿宋"/>
                <w:kern w:val="0"/>
                <w:szCs w:val="21"/>
              </w:rPr>
              <w:t>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5FC7C33"/>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CB8-A120-4EB6-AED8-CB33B9DEFDC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16819</Words>
  <Characters>18363</Characters>
  <Lines>138</Lines>
  <Paragraphs>38</Paragraphs>
  <TotalTime>0</TotalTime>
  <ScaleCrop>false</ScaleCrop>
  <LinksUpToDate>false</LinksUpToDate>
  <CharactersWithSpaces>18383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2023-03-14T06:34:00Z</dcterms:created>
  <dc:creator>kongjian</dc:creator>
  <cp:lastModifiedBy>翡冷翠</cp:lastModifiedBy>
  <cp:lastPrinted>2023-03-09T06:50:00Z</cp:lastPrinted>
  <dcterms:modified xsi:type="dcterms:W3CDTF">2023-04-13T09:13:32Z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5212585243EC4FE9A170B5465A9CFC73</vt:lpwstr>
  </property>
</Properties>
</file>